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9B41" w14:textId="77777777" w:rsidR="006534BC" w:rsidRDefault="006534BC" w:rsidP="00F82593">
      <w:pPr>
        <w:ind w:left="360"/>
        <w:jc w:val="center"/>
        <w:rPr>
          <w:highlight w:val="yellow"/>
        </w:rPr>
      </w:pPr>
    </w:p>
    <w:p w14:paraId="38D29D70" w14:textId="77777777" w:rsidR="00F82593" w:rsidRDefault="00F82593" w:rsidP="00F82593">
      <w:pPr>
        <w:ind w:left="360"/>
        <w:jc w:val="center"/>
        <w:rPr>
          <w:highlight w:val="yellow"/>
        </w:rPr>
      </w:pPr>
    </w:p>
    <w:p w14:paraId="02EE9BA5" w14:textId="10F1BC3E" w:rsidR="00F82593" w:rsidRPr="00EB159B" w:rsidRDefault="00F82593" w:rsidP="00F82593">
      <w:pPr>
        <w:ind w:left="360"/>
        <w:jc w:val="center"/>
        <w:rPr>
          <w:rFonts w:cs="Arial"/>
          <w:b/>
          <w:sz w:val="40"/>
          <w:szCs w:val="40"/>
          <w:highlight w:val="yellow"/>
        </w:rPr>
      </w:pPr>
      <w:r w:rsidRPr="00EB159B">
        <w:rPr>
          <w:highlight w:val="yellow"/>
        </w:rPr>
        <w:t>Company Log</w:t>
      </w:r>
      <w:r w:rsidR="00045C86">
        <w:rPr>
          <w:highlight w:val="yellow"/>
        </w:rPr>
        <w:t>o</w:t>
      </w:r>
    </w:p>
    <w:p w14:paraId="16D5C722" w14:textId="77777777" w:rsidR="00F82593" w:rsidRPr="00EB159B" w:rsidRDefault="00F82593" w:rsidP="00F82593">
      <w:pPr>
        <w:ind w:left="360"/>
        <w:jc w:val="center"/>
        <w:rPr>
          <w:rFonts w:cs="Arial"/>
          <w:b/>
          <w:sz w:val="28"/>
          <w:szCs w:val="28"/>
          <w:highlight w:val="yellow"/>
        </w:rPr>
      </w:pPr>
      <w:r w:rsidRPr="00EB159B">
        <w:rPr>
          <w:rFonts w:cs="Arial"/>
          <w:b/>
          <w:sz w:val="32"/>
          <w:szCs w:val="32"/>
          <w:highlight w:val="yellow"/>
        </w:rPr>
        <w:t>Name of Facility</w:t>
      </w:r>
    </w:p>
    <w:p w14:paraId="2245340E" w14:textId="77777777" w:rsidR="00F82593" w:rsidRPr="00EB159B" w:rsidRDefault="00F82593" w:rsidP="00F82593">
      <w:pPr>
        <w:ind w:left="360"/>
        <w:jc w:val="center"/>
        <w:rPr>
          <w:rFonts w:cs="Arial"/>
          <w:szCs w:val="24"/>
        </w:rPr>
      </w:pPr>
      <w:r w:rsidRPr="00EB159B">
        <w:rPr>
          <w:rFonts w:cs="Arial"/>
          <w:szCs w:val="24"/>
          <w:highlight w:val="yellow"/>
        </w:rPr>
        <w:t>Address of facility</w:t>
      </w:r>
    </w:p>
    <w:p w14:paraId="53EAB941" w14:textId="77777777" w:rsidR="00F82593" w:rsidRPr="00EB159B" w:rsidRDefault="00F82593" w:rsidP="00F82593">
      <w:pPr>
        <w:ind w:left="360"/>
        <w:jc w:val="center"/>
        <w:rPr>
          <w:rFonts w:cs="Arial"/>
          <w:b/>
          <w:sz w:val="32"/>
          <w:szCs w:val="32"/>
        </w:rPr>
      </w:pPr>
    </w:p>
    <w:p w14:paraId="6ED1C6FB" w14:textId="77777777" w:rsidR="00F82593" w:rsidRDefault="00F82593" w:rsidP="00F82593">
      <w:pPr>
        <w:ind w:left="360"/>
        <w:jc w:val="center"/>
        <w:rPr>
          <w:rFonts w:cs="Arial"/>
          <w:szCs w:val="24"/>
        </w:rPr>
      </w:pPr>
    </w:p>
    <w:p w14:paraId="716CBF0A" w14:textId="77777777" w:rsidR="006534BC" w:rsidRPr="00EB159B" w:rsidRDefault="006534BC" w:rsidP="006534BC">
      <w:pPr>
        <w:rPr>
          <w:rFonts w:cs="Arial"/>
          <w:szCs w:val="24"/>
        </w:rPr>
      </w:pPr>
    </w:p>
    <w:p w14:paraId="00CB7942" w14:textId="77777777" w:rsidR="00F82593" w:rsidRPr="00EB159B" w:rsidRDefault="00F82593" w:rsidP="00F82593">
      <w:pPr>
        <w:ind w:left="360"/>
        <w:jc w:val="center"/>
        <w:rPr>
          <w:rFonts w:cs="Arial"/>
          <w:b/>
          <w:sz w:val="40"/>
          <w:szCs w:val="40"/>
        </w:rPr>
      </w:pPr>
      <w:r w:rsidRPr="00EB159B">
        <w:rPr>
          <w:rFonts w:cs="Arial"/>
          <w:b/>
          <w:sz w:val="40"/>
          <w:szCs w:val="40"/>
        </w:rPr>
        <w:t>Data Center Energy Efficiency Assessment</w:t>
      </w:r>
    </w:p>
    <w:p w14:paraId="6ADCDAEF" w14:textId="77777777" w:rsidR="00F82593" w:rsidRPr="00EB159B" w:rsidRDefault="00F82593" w:rsidP="006534BC">
      <w:pPr>
        <w:rPr>
          <w:rFonts w:cs="Arial"/>
          <w:b/>
          <w:sz w:val="36"/>
          <w:szCs w:val="36"/>
        </w:rPr>
      </w:pPr>
    </w:p>
    <w:p w14:paraId="35C7F0DB" w14:textId="77777777" w:rsidR="00F82593" w:rsidRPr="00EB159B" w:rsidRDefault="00F82593" w:rsidP="00F82593">
      <w:pPr>
        <w:ind w:left="360"/>
        <w:jc w:val="center"/>
        <w:rPr>
          <w:rFonts w:cs="Arial"/>
          <w:b/>
          <w:sz w:val="36"/>
          <w:szCs w:val="36"/>
        </w:rPr>
      </w:pPr>
    </w:p>
    <w:p w14:paraId="526FE4B0" w14:textId="77777777" w:rsidR="00F82593" w:rsidRPr="00EB159B" w:rsidRDefault="00F82593" w:rsidP="00F82593">
      <w:pPr>
        <w:jc w:val="center"/>
        <w:rPr>
          <w:rFonts w:cs="Arial"/>
          <w:b/>
          <w:sz w:val="36"/>
          <w:szCs w:val="36"/>
        </w:rPr>
      </w:pPr>
    </w:p>
    <w:p w14:paraId="29A519B1" w14:textId="77777777" w:rsidR="00F82593" w:rsidRPr="00EB159B" w:rsidRDefault="00F82593" w:rsidP="00F82593">
      <w:pPr>
        <w:ind w:left="360"/>
        <w:jc w:val="center"/>
        <w:rPr>
          <w:rFonts w:cs="Arial"/>
          <w:b/>
          <w:sz w:val="36"/>
          <w:szCs w:val="36"/>
        </w:rPr>
      </w:pPr>
    </w:p>
    <w:p w14:paraId="3DD76867" w14:textId="77777777" w:rsidR="00F82593" w:rsidRPr="00EB159B" w:rsidRDefault="00F82593" w:rsidP="00F82593">
      <w:pPr>
        <w:ind w:left="360"/>
        <w:jc w:val="center"/>
        <w:rPr>
          <w:rFonts w:cs="Arial"/>
          <w:b/>
          <w:sz w:val="36"/>
          <w:szCs w:val="36"/>
        </w:rPr>
      </w:pPr>
      <w:r w:rsidRPr="00EB159B">
        <w:rPr>
          <w:rFonts w:cs="Arial"/>
          <w:szCs w:val="24"/>
          <w:highlight w:val="yellow"/>
        </w:rPr>
        <w:t>Assessor and affiliation</w:t>
      </w:r>
    </w:p>
    <w:p w14:paraId="0BCD0DBD" w14:textId="77777777" w:rsidR="00F82593" w:rsidRPr="00EB159B" w:rsidRDefault="00F82593" w:rsidP="00F82593">
      <w:pPr>
        <w:ind w:left="360"/>
        <w:rPr>
          <w:b/>
          <w:sz w:val="32"/>
          <w:szCs w:val="32"/>
        </w:rPr>
      </w:pPr>
    </w:p>
    <w:p w14:paraId="5494C8BA" w14:textId="77777777" w:rsidR="00F82593" w:rsidRDefault="00F82593" w:rsidP="00F82593">
      <w:pPr>
        <w:ind w:left="360"/>
        <w:rPr>
          <w:b/>
          <w:sz w:val="32"/>
          <w:szCs w:val="32"/>
        </w:rPr>
      </w:pPr>
    </w:p>
    <w:p w14:paraId="4CDB09CF" w14:textId="77777777" w:rsidR="006534BC" w:rsidRDefault="006534BC" w:rsidP="00F82593">
      <w:pPr>
        <w:ind w:left="360"/>
        <w:rPr>
          <w:b/>
          <w:sz w:val="32"/>
          <w:szCs w:val="32"/>
        </w:rPr>
      </w:pPr>
    </w:p>
    <w:p w14:paraId="0A143580" w14:textId="77777777" w:rsidR="006534BC" w:rsidRDefault="006534BC" w:rsidP="00F82593">
      <w:pPr>
        <w:ind w:left="360"/>
        <w:rPr>
          <w:b/>
          <w:sz w:val="32"/>
          <w:szCs w:val="32"/>
        </w:rPr>
      </w:pPr>
    </w:p>
    <w:p w14:paraId="4455272C" w14:textId="77777777" w:rsidR="006534BC" w:rsidRPr="00EB159B" w:rsidRDefault="006534BC" w:rsidP="00F82593">
      <w:pPr>
        <w:ind w:left="360"/>
        <w:rPr>
          <w:b/>
          <w:sz w:val="32"/>
          <w:szCs w:val="32"/>
        </w:rPr>
      </w:pPr>
    </w:p>
    <w:p w14:paraId="6AE562D5" w14:textId="77777777" w:rsidR="00F82593" w:rsidRPr="00EB159B" w:rsidRDefault="00F82593" w:rsidP="00F82593">
      <w:pPr>
        <w:rPr>
          <w:b/>
          <w:sz w:val="32"/>
          <w:szCs w:val="32"/>
        </w:rPr>
      </w:pPr>
      <w:r>
        <w:rPr>
          <w:noProof/>
        </w:rPr>
        <mc:AlternateContent>
          <mc:Choice Requires="wps">
            <w:drawing>
              <wp:anchor distT="0" distB="0" distL="114300" distR="114300" simplePos="0" relativeHeight="251659264" behindDoc="1" locked="0" layoutInCell="1" allowOverlap="1" wp14:anchorId="6FCAE9A4" wp14:editId="567232B6">
                <wp:simplePos x="0" y="0"/>
                <wp:positionH relativeFrom="column">
                  <wp:posOffset>457200</wp:posOffset>
                </wp:positionH>
                <wp:positionV relativeFrom="paragraph">
                  <wp:posOffset>76200</wp:posOffset>
                </wp:positionV>
                <wp:extent cx="4800600" cy="1007110"/>
                <wp:effectExtent l="0" t="0" r="0" b="0"/>
                <wp:wrapTight wrapText="bothSides">
                  <wp:wrapPolygon edited="0">
                    <wp:start x="-63" y="0"/>
                    <wp:lineTo x="-63" y="21355"/>
                    <wp:lineTo x="21600" y="21355"/>
                    <wp:lineTo x="21600" y="0"/>
                    <wp:lineTo x="-6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0B04" w14:textId="77777777" w:rsidR="007222A6" w:rsidRDefault="007222A6" w:rsidP="00F82593">
                            <w:pPr>
                              <w:ind w:left="360"/>
                              <w:jc w:val="center"/>
                              <w:rPr>
                                <w:rFonts w:ascii="Arial" w:hAnsi="Arial" w:cs="Arial"/>
                                <w:b/>
                                <w:sz w:val="36"/>
                                <w:szCs w:val="36"/>
                              </w:rPr>
                            </w:pPr>
                          </w:p>
                          <w:p w14:paraId="53275D3D" w14:textId="77777777" w:rsidR="007222A6" w:rsidRPr="00BC5DCC" w:rsidRDefault="007222A6" w:rsidP="00F82593">
                            <w:pPr>
                              <w:ind w:left="360"/>
                              <w:jc w:val="center"/>
                              <w:rPr>
                                <w:rFonts w:cs="Arial"/>
                                <w:b/>
                                <w:szCs w:val="24"/>
                              </w:rPr>
                            </w:pPr>
                            <w:r w:rsidRPr="00BC5DCC">
                              <w:rPr>
                                <w:rFonts w:cs="Arial"/>
                                <w:b/>
                                <w:szCs w:val="24"/>
                                <w:highlight w:val="yellow"/>
                              </w:rPr>
                              <w:t>Final/Draft Report</w:t>
                            </w:r>
                          </w:p>
                          <w:p w14:paraId="2830BD43" w14:textId="77777777" w:rsidR="007222A6" w:rsidRPr="00BC5DCC" w:rsidRDefault="007222A6" w:rsidP="00F82593">
                            <w:pPr>
                              <w:ind w:left="360"/>
                              <w:jc w:val="center"/>
                              <w:rPr>
                                <w:rFonts w:cs="Arial"/>
                                <w:szCs w:val="24"/>
                                <w:highlight w:val="yellow"/>
                              </w:rPr>
                            </w:pPr>
                          </w:p>
                          <w:p w14:paraId="70D96D7B" w14:textId="77777777" w:rsidR="007222A6" w:rsidRPr="00BC5DCC" w:rsidRDefault="007222A6" w:rsidP="00F82593">
                            <w:pPr>
                              <w:ind w:left="360"/>
                              <w:jc w:val="center"/>
                              <w:rPr>
                                <w:rFonts w:cs="Arial"/>
                                <w:szCs w:val="24"/>
                              </w:rPr>
                            </w:pPr>
                            <w:r w:rsidRPr="00BC5DCC">
                              <w:rPr>
                                <w:rFonts w:cs="Arial"/>
                                <w:szCs w:val="24"/>
                                <w:highlight w:val="yellow"/>
                              </w:rPr>
                              <w:t>date</w:t>
                            </w:r>
                          </w:p>
                          <w:p w14:paraId="604A0616" w14:textId="77777777" w:rsidR="007222A6" w:rsidRDefault="007222A6" w:rsidP="00F82593">
                            <w:pPr>
                              <w:ind w:left="360"/>
                              <w:rPr>
                                <w:b/>
                                <w:sz w:val="32"/>
                                <w:szCs w:val="32"/>
                              </w:rPr>
                            </w:pPr>
                          </w:p>
                          <w:p w14:paraId="12D86452" w14:textId="77777777" w:rsidR="007222A6" w:rsidRPr="00305A48" w:rsidRDefault="007222A6" w:rsidP="00F82593">
                            <w:pPr>
                              <w:ind w:left="360"/>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6pt;width:378pt;height:7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" stroked="f">
                <v:textbox>
                  <w:txbxContent>
                    <w:p w14:paraId="41040B04" w14:textId="77777777" w:rsidR="007222A6" w:rsidRDefault="007222A6" w:rsidP="00F82593">
                      <w:pPr>
                        <w:ind w:left="360"/>
                        <w:jc w:val="center"/>
                        <w:rPr>
                          <w:rFonts w:ascii="Arial" w:hAnsi="Arial" w:cs="Arial"/>
                          <w:b/>
                          <w:sz w:val="36"/>
                          <w:szCs w:val="36"/>
                        </w:rPr>
                      </w:pPr>
                    </w:p>
                    <w:p w14:paraId="53275D3D" w14:textId="77777777" w:rsidR="007222A6" w:rsidRPr="00BC5DCC" w:rsidRDefault="007222A6" w:rsidP="00F82593">
                      <w:pPr>
                        <w:ind w:left="360"/>
                        <w:jc w:val="center"/>
                        <w:rPr>
                          <w:rFonts w:cs="Arial"/>
                          <w:b/>
                          <w:szCs w:val="24"/>
                        </w:rPr>
                      </w:pPr>
                      <w:r w:rsidRPr="00BC5DCC">
                        <w:rPr>
                          <w:rFonts w:cs="Arial"/>
                          <w:b/>
                          <w:szCs w:val="24"/>
                          <w:highlight w:val="yellow"/>
                        </w:rPr>
                        <w:t>Final/Draft Report</w:t>
                      </w:r>
                    </w:p>
                    <w:p w14:paraId="2830BD43" w14:textId="77777777" w:rsidR="007222A6" w:rsidRPr="00BC5DCC" w:rsidRDefault="007222A6" w:rsidP="00F82593">
                      <w:pPr>
                        <w:ind w:left="360"/>
                        <w:jc w:val="center"/>
                        <w:rPr>
                          <w:rFonts w:cs="Arial"/>
                          <w:szCs w:val="24"/>
                          <w:highlight w:val="yellow"/>
                        </w:rPr>
                      </w:pPr>
                    </w:p>
                    <w:p w14:paraId="70D96D7B" w14:textId="77777777" w:rsidR="007222A6" w:rsidRPr="00BC5DCC" w:rsidRDefault="007222A6" w:rsidP="00F82593">
                      <w:pPr>
                        <w:ind w:left="360"/>
                        <w:jc w:val="center"/>
                        <w:rPr>
                          <w:rFonts w:cs="Arial"/>
                          <w:szCs w:val="24"/>
                        </w:rPr>
                      </w:pPr>
                      <w:r w:rsidRPr="00BC5DCC">
                        <w:rPr>
                          <w:rFonts w:cs="Arial"/>
                          <w:szCs w:val="24"/>
                          <w:highlight w:val="yellow"/>
                        </w:rPr>
                        <w:t>date</w:t>
                      </w:r>
                    </w:p>
                    <w:p w14:paraId="604A0616" w14:textId="77777777" w:rsidR="007222A6" w:rsidRDefault="007222A6" w:rsidP="00F82593">
                      <w:pPr>
                        <w:ind w:left="360"/>
                        <w:rPr>
                          <w:b/>
                          <w:sz w:val="32"/>
                          <w:szCs w:val="32"/>
                        </w:rPr>
                      </w:pPr>
                    </w:p>
                    <w:p w14:paraId="12D86452" w14:textId="77777777" w:rsidR="007222A6" w:rsidRPr="00305A48" w:rsidRDefault="007222A6" w:rsidP="00F82593">
                      <w:pPr>
                        <w:ind w:left="360"/>
                        <w:rPr>
                          <w:b/>
                          <w:sz w:val="32"/>
                          <w:szCs w:val="32"/>
                        </w:rPr>
                      </w:pPr>
                    </w:p>
                  </w:txbxContent>
                </v:textbox>
                <w10:wrap type="tight"/>
              </v:shape>
            </w:pict>
          </mc:Fallback>
        </mc:AlternateContent>
      </w:r>
    </w:p>
    <w:p w14:paraId="7D0D685B" w14:textId="77777777" w:rsidR="00F82593" w:rsidRPr="00EB159B" w:rsidRDefault="00F82593" w:rsidP="00F82593">
      <w:pPr>
        <w:ind w:left="360"/>
        <w:rPr>
          <w:b/>
          <w:sz w:val="32"/>
          <w:szCs w:val="32"/>
        </w:rPr>
      </w:pPr>
    </w:p>
    <w:p w14:paraId="06696951" w14:textId="77777777" w:rsidR="00F82593" w:rsidRPr="00EB159B" w:rsidRDefault="00F82593" w:rsidP="00F82593">
      <w:pPr>
        <w:ind w:left="360"/>
        <w:rPr>
          <w:b/>
          <w:sz w:val="32"/>
          <w:szCs w:val="32"/>
        </w:rPr>
      </w:pPr>
    </w:p>
    <w:p w14:paraId="14F9FE74" w14:textId="77777777" w:rsidR="00C70EEF" w:rsidRDefault="00C70EEF"/>
    <w:p w14:paraId="55A35A31" w14:textId="77777777" w:rsidR="00F82593" w:rsidRDefault="00F82593"/>
    <w:p w14:paraId="76C7F086" w14:textId="77777777" w:rsidR="00F82593" w:rsidRDefault="00F82593"/>
    <w:p w14:paraId="6F634601" w14:textId="77777777" w:rsidR="00F82593" w:rsidRDefault="00F82593"/>
    <w:p w14:paraId="5964707E" w14:textId="791993B3" w:rsidR="00F82593" w:rsidRPr="00F82593" w:rsidRDefault="00F82593" w:rsidP="00F82593"/>
    <w:p w14:paraId="2482FEA8" w14:textId="03432511" w:rsidR="000D317E" w:rsidRDefault="00E00F6C" w:rsidP="00F82593">
      <w:pPr>
        <w:rPr>
          <w:highlight w:val="yellow"/>
        </w:rPr>
      </w:pPr>
      <w:r>
        <w:rPr>
          <w:highlight w:val="yellow"/>
        </w:rPr>
        <w:t>Template instructions</w:t>
      </w:r>
      <w:r w:rsidR="000D317E" w:rsidRPr="000D317E">
        <w:rPr>
          <w:highlight w:val="yellow"/>
        </w:rPr>
        <w:t>:</w:t>
      </w:r>
    </w:p>
    <w:p w14:paraId="20493802" w14:textId="4CB98219" w:rsidR="000D317E" w:rsidRDefault="000D317E" w:rsidP="000D317E">
      <w:pPr>
        <w:pStyle w:val="ListParagraph"/>
        <w:numPr>
          <w:ilvl w:val="0"/>
          <w:numId w:val="1"/>
        </w:numPr>
      </w:pPr>
      <w:r w:rsidRPr="000D317E">
        <w:rPr>
          <w:highlight w:val="yellow"/>
        </w:rPr>
        <w:t xml:space="preserve">Highlighted text </w:t>
      </w:r>
      <w:r w:rsidR="00E00F6C">
        <w:rPr>
          <w:highlight w:val="yellow"/>
        </w:rPr>
        <w:t>should</w:t>
      </w:r>
      <w:r w:rsidRPr="000D317E">
        <w:rPr>
          <w:highlight w:val="yellow"/>
        </w:rPr>
        <w:t xml:space="preserve"> be replaced with data center’</w:t>
      </w:r>
      <w:r>
        <w:rPr>
          <w:highlight w:val="yellow"/>
        </w:rPr>
        <w:t>s actual information</w:t>
      </w:r>
    </w:p>
    <w:p w14:paraId="75D5B9BA" w14:textId="371D5053" w:rsidR="007222A6" w:rsidRDefault="00E00F6C" w:rsidP="000D317E">
      <w:pPr>
        <w:pStyle w:val="ListParagraph"/>
        <w:numPr>
          <w:ilvl w:val="0"/>
          <w:numId w:val="1"/>
        </w:numPr>
      </w:pPr>
      <w:r>
        <w:rPr>
          <w:highlight w:val="yellow"/>
        </w:rPr>
        <w:t>E</w:t>
      </w:r>
      <w:r w:rsidR="007222A6">
        <w:rPr>
          <w:highlight w:val="yellow"/>
        </w:rPr>
        <w:t xml:space="preserve">nsure formatting, table of contents, and table/figure numbers are updated before </w:t>
      </w:r>
      <w:r w:rsidR="007222A6" w:rsidRPr="00627BD4">
        <w:rPr>
          <w:highlight w:val="yellow"/>
        </w:rPr>
        <w:t>submit</w:t>
      </w:r>
      <w:r w:rsidR="007222A6" w:rsidRPr="000371F2">
        <w:rPr>
          <w:highlight w:val="yellow"/>
        </w:rPr>
        <w:t>tal</w:t>
      </w:r>
    </w:p>
    <w:p w14:paraId="4B217C3C" w14:textId="778FB6EB" w:rsidR="000D317E" w:rsidRPr="00B92774" w:rsidRDefault="00B92774" w:rsidP="00B92774">
      <w:pPr>
        <w:pStyle w:val="ListParagraph"/>
        <w:numPr>
          <w:ilvl w:val="0"/>
          <w:numId w:val="1"/>
        </w:numPr>
        <w:rPr>
          <w:highlight w:val="yellow"/>
        </w:rPr>
      </w:pPr>
      <w:r w:rsidRPr="00B92774">
        <w:rPr>
          <w:highlight w:val="yellow"/>
        </w:rPr>
        <w:t>Results from the Data Center Profiler (DC Pro) Tools and/or t</w:t>
      </w:r>
      <w:r w:rsidR="00C94597" w:rsidRPr="00B92774">
        <w:rPr>
          <w:highlight w:val="yellow"/>
        </w:rPr>
        <w:t xml:space="preserve">he </w:t>
      </w:r>
      <w:r w:rsidR="000D317E" w:rsidRPr="00B92774">
        <w:rPr>
          <w:highlight w:val="yellow"/>
        </w:rPr>
        <w:t>Data Center Master List of Energy Efficiency Actions</w:t>
      </w:r>
      <w:r w:rsidR="00E00F6C">
        <w:rPr>
          <w:highlight w:val="yellow"/>
        </w:rPr>
        <w:t xml:space="preserve"> can</w:t>
      </w:r>
      <w:r w:rsidR="000D317E" w:rsidRPr="00B92774">
        <w:rPr>
          <w:highlight w:val="yellow"/>
        </w:rPr>
        <w:t xml:space="preserve"> inform </w:t>
      </w:r>
      <w:r w:rsidR="00C94597" w:rsidRPr="00B92774">
        <w:rPr>
          <w:highlight w:val="yellow"/>
        </w:rPr>
        <w:t>the recommended energy efficiency measures (EEMs)</w:t>
      </w:r>
    </w:p>
    <w:p w14:paraId="22D9205B" w14:textId="77777777" w:rsidR="00B92774" w:rsidRPr="00B92774" w:rsidRDefault="00154EC6" w:rsidP="000D317E">
      <w:pPr>
        <w:pStyle w:val="ListParagraph"/>
        <w:numPr>
          <w:ilvl w:val="1"/>
          <w:numId w:val="1"/>
        </w:numPr>
        <w:rPr>
          <w:highlight w:val="yellow"/>
        </w:rPr>
      </w:pPr>
      <w:hyperlink r:id="rId10" w:history="1">
        <w:r w:rsidR="00B92774" w:rsidRPr="00B92774">
          <w:rPr>
            <w:rStyle w:val="Hyperlink"/>
            <w:highlight w:val="yellow"/>
          </w:rPr>
          <w:t>datacenters.lbl.gov/dcpro</w:t>
        </w:r>
      </w:hyperlink>
    </w:p>
    <w:p w14:paraId="6B633E8D" w14:textId="4BC7E9CC" w:rsidR="00F82593" w:rsidRPr="007222A6" w:rsidRDefault="00154EC6" w:rsidP="007222A6">
      <w:pPr>
        <w:pStyle w:val="ListParagraph"/>
        <w:numPr>
          <w:ilvl w:val="1"/>
          <w:numId w:val="1"/>
        </w:numPr>
        <w:rPr>
          <w:highlight w:val="yellow"/>
        </w:rPr>
      </w:pPr>
      <w:hyperlink r:id="rId11" w:history="1">
        <w:r w:rsidR="00B92774" w:rsidRPr="00B92774">
          <w:rPr>
            <w:rStyle w:val="Hyperlink"/>
            <w:highlight w:val="yellow"/>
          </w:rPr>
          <w:t>datacenters.lbl.gov/resources/data-center-master-list-energy</w:t>
        </w:r>
      </w:hyperlink>
      <w:r w:rsidR="00F82593">
        <w:tab/>
      </w:r>
    </w:p>
    <w:p w14:paraId="054F9D0D" w14:textId="77777777" w:rsidR="00B92774" w:rsidRDefault="00B92774">
      <w:pPr>
        <w:rPr>
          <w:b/>
          <w:bCs/>
        </w:rPr>
      </w:pPr>
      <w:r>
        <w:rPr>
          <w:b/>
          <w:bCs/>
        </w:rPr>
        <w:br w:type="page"/>
      </w:r>
    </w:p>
    <w:p w14:paraId="5963A494" w14:textId="6544391B" w:rsidR="00F82593" w:rsidRPr="00EB159B" w:rsidRDefault="00F82593" w:rsidP="00F82593">
      <w:pPr>
        <w:jc w:val="center"/>
        <w:rPr>
          <w:b/>
          <w:bCs/>
        </w:rPr>
      </w:pPr>
      <w:r w:rsidRPr="00EB159B">
        <w:rPr>
          <w:b/>
          <w:bCs/>
        </w:rPr>
        <w:lastRenderedPageBreak/>
        <w:t>Disclaimer</w:t>
      </w:r>
    </w:p>
    <w:p w14:paraId="5EAD9742" w14:textId="77777777" w:rsidR="00F82593" w:rsidRPr="00EB159B" w:rsidRDefault="00F82593" w:rsidP="00F82593">
      <w:pPr>
        <w:jc w:val="center"/>
        <w:rPr>
          <w:b/>
          <w:bCs/>
        </w:rPr>
      </w:pPr>
    </w:p>
    <w:p w14:paraId="4490A27B" w14:textId="77777777" w:rsidR="00F82593" w:rsidRPr="00EB159B" w:rsidRDefault="00F82593" w:rsidP="00F82593">
      <w:pPr>
        <w:jc w:val="center"/>
      </w:pPr>
    </w:p>
    <w:p w14:paraId="7BB62AE9" w14:textId="77777777" w:rsidR="00F82593" w:rsidRPr="00EB159B" w:rsidRDefault="00F82593" w:rsidP="00F82593">
      <w:pPr>
        <w:pStyle w:val="SpaceAfter"/>
        <w:jc w:val="both"/>
      </w:pPr>
      <w:r w:rsidRPr="00EB159B">
        <w:t xml:space="preserve">This report was prepared by </w:t>
      </w:r>
      <w:r w:rsidRPr="00EB159B">
        <w:rPr>
          <w:highlight w:val="yellow"/>
        </w:rPr>
        <w:t>Qualified Assessor</w:t>
      </w:r>
      <w:r w:rsidRPr="00EB159B">
        <w:t xml:space="preserve"> in the course of performing and energy assessment contracted for and sponsored by </w:t>
      </w:r>
      <w:r w:rsidRPr="00EB159B">
        <w:rPr>
          <w:highlight w:val="yellow"/>
        </w:rPr>
        <w:t>Sponsor</w:t>
      </w:r>
      <w:r w:rsidRPr="00EB159B">
        <w:t xml:space="preserve">.  Reproduction or distribution of the whole, or any part, of the contents of this document without written permission of </w:t>
      </w:r>
      <w:r w:rsidRPr="00EB159B">
        <w:rPr>
          <w:highlight w:val="yellow"/>
        </w:rPr>
        <w:t>Sponsor</w:t>
      </w:r>
      <w:r w:rsidRPr="00EB159B">
        <w:t xml:space="preserve"> is prohibited.  Neither the assessor, </w:t>
      </w:r>
      <w:r w:rsidRPr="00EB159B">
        <w:rPr>
          <w:highlight w:val="yellow"/>
        </w:rPr>
        <w:t>Sponsor</w:t>
      </w:r>
      <w:r w:rsidRPr="00EB159B">
        <w:t xml:space="preserve"> nor any of its employees make any warranty or representations, expressed or implied, or assume any legal liability or responsibility for the accuracy, completeness, or usefulness of any data, information, method product or process disclosed in this document, or represents that its use will not infringe any privately-owned rights, including, but not limited to, patents, trademarks, or copyrights.</w:t>
      </w:r>
    </w:p>
    <w:p w14:paraId="169931DF" w14:textId="77777777" w:rsidR="00F82593" w:rsidRPr="00EB159B" w:rsidRDefault="00F82593" w:rsidP="00F82593">
      <w:pPr>
        <w:pStyle w:val="SpaceAfter"/>
      </w:pPr>
    </w:p>
    <w:p w14:paraId="0E1AE9FE" w14:textId="77777777" w:rsidR="00F82593" w:rsidRPr="00EB159B" w:rsidRDefault="00F82593" w:rsidP="00F82593">
      <w:pPr>
        <w:pStyle w:val="SpaceAfter"/>
        <w:jc w:val="both"/>
      </w:pPr>
      <w:r w:rsidRPr="00EB159B">
        <w:t xml:space="preserve">This report uses preliminary information from vendor data and technical references.  The report, by itself, is not intended as a basis for the engineering required to adopt any of the recommendations.  </w:t>
      </w:r>
      <w:r w:rsidRPr="00EB159B">
        <w:rPr>
          <w:szCs w:val="22"/>
        </w:rPr>
        <w:t xml:space="preserve">Its intent is to inform the site of potential energy saving opportunities and very rough cost savings.  </w:t>
      </w:r>
      <w:r w:rsidRPr="00EB159B">
        <w:t>The purpose of the recommendations and calculations is to determine whether measures warrant further investigation.</w:t>
      </w:r>
    </w:p>
    <w:p w14:paraId="5A9D075E" w14:textId="77777777" w:rsidR="00F82593" w:rsidRPr="00EB159B" w:rsidRDefault="00F82593" w:rsidP="00F82593">
      <w:pPr>
        <w:tabs>
          <w:tab w:val="left" w:pos="3316"/>
        </w:tabs>
        <w:rPr>
          <w:b/>
          <w:bCs/>
        </w:rPr>
      </w:pPr>
      <w:r w:rsidRPr="00EB159B">
        <w:rPr>
          <w:b/>
          <w:bCs/>
        </w:rPr>
        <w:tab/>
      </w:r>
    </w:p>
    <w:p w14:paraId="55308999" w14:textId="77777777" w:rsidR="00F82593" w:rsidRPr="00EB159B" w:rsidRDefault="00F82593" w:rsidP="00F82593">
      <w:pPr>
        <w:pStyle w:val="SpaceAfter"/>
      </w:pPr>
    </w:p>
    <w:p w14:paraId="421B945D" w14:textId="77777777" w:rsidR="00F82593" w:rsidRPr="00EB159B" w:rsidRDefault="00F82593" w:rsidP="00F82593">
      <w:pPr>
        <w:jc w:val="center"/>
        <w:rPr>
          <w:b/>
          <w:bCs/>
        </w:rPr>
      </w:pPr>
      <w:r w:rsidRPr="00EB159B">
        <w:rPr>
          <w:b/>
          <w:bCs/>
        </w:rPr>
        <w:t>Authors</w:t>
      </w:r>
    </w:p>
    <w:p w14:paraId="37178F33" w14:textId="77777777" w:rsidR="00F82593" w:rsidRPr="00EB159B" w:rsidRDefault="00F82593" w:rsidP="00F82593">
      <w:pPr>
        <w:pStyle w:val="SpaceAfter"/>
      </w:pPr>
    </w:p>
    <w:p w14:paraId="1DDD6215" w14:textId="77777777" w:rsidR="00F82593" w:rsidRPr="00EB159B" w:rsidRDefault="00F82593" w:rsidP="00F82593">
      <w:pPr>
        <w:pStyle w:val="SpaceAfter"/>
        <w:jc w:val="center"/>
      </w:pPr>
      <w:bookmarkStart w:id="0" w:name="OLE_LINK1"/>
      <w:bookmarkStart w:id="1" w:name="OLE_LINK2"/>
      <w:r w:rsidRPr="00EB159B">
        <w:rPr>
          <w:highlight w:val="yellow"/>
        </w:rPr>
        <w:t>Joe Green Engineer  - qualified assessor</w:t>
      </w:r>
    </w:p>
    <w:bookmarkEnd w:id="0"/>
    <w:bookmarkEnd w:id="1"/>
    <w:p w14:paraId="51088F34" w14:textId="77777777" w:rsidR="00F82593" w:rsidRPr="00EB159B" w:rsidRDefault="00F82593" w:rsidP="00F82593">
      <w:pPr>
        <w:tabs>
          <w:tab w:val="left" w:pos="3316"/>
        </w:tabs>
        <w:jc w:val="center"/>
        <w:rPr>
          <w:sz w:val="22"/>
          <w:szCs w:val="22"/>
        </w:rPr>
      </w:pPr>
    </w:p>
    <w:p w14:paraId="0629C8AE" w14:textId="77777777" w:rsidR="00B92774" w:rsidRPr="00EB159B" w:rsidRDefault="00B92774" w:rsidP="00B92774">
      <w:pPr>
        <w:jc w:val="center"/>
        <w:rPr>
          <w:b/>
          <w:bCs/>
        </w:rPr>
      </w:pPr>
      <w:r w:rsidRPr="00EB159B">
        <w:rPr>
          <w:b/>
          <w:bCs/>
        </w:rPr>
        <w:t>Acknowledgments</w:t>
      </w:r>
    </w:p>
    <w:p w14:paraId="0AC36C98" w14:textId="77777777" w:rsidR="00B92774" w:rsidRDefault="00B92774" w:rsidP="00F82593">
      <w:pPr>
        <w:jc w:val="center"/>
        <w:rPr>
          <w:b/>
          <w:bCs/>
        </w:rPr>
      </w:pPr>
    </w:p>
    <w:p w14:paraId="7D4F0F29" w14:textId="7B76EE3F" w:rsidR="00F82593" w:rsidRPr="00B92774" w:rsidRDefault="009E3872" w:rsidP="00B92774">
      <w:pPr>
        <w:jc w:val="center"/>
        <w:rPr>
          <w:bCs/>
          <w:sz w:val="22"/>
          <w:szCs w:val="22"/>
        </w:rPr>
      </w:pPr>
      <w:r>
        <w:rPr>
          <w:bCs/>
          <w:sz w:val="22"/>
          <w:szCs w:val="22"/>
        </w:rPr>
        <w:t>The a</w:t>
      </w:r>
      <w:r w:rsidR="00B92774" w:rsidRPr="00B92774">
        <w:rPr>
          <w:bCs/>
          <w:sz w:val="22"/>
          <w:szCs w:val="22"/>
        </w:rPr>
        <w:t>uthors w</w:t>
      </w:r>
      <w:r w:rsidR="00B92774">
        <w:rPr>
          <w:bCs/>
          <w:sz w:val="22"/>
          <w:szCs w:val="22"/>
        </w:rPr>
        <w:t>ould like to acknowledge the c</w:t>
      </w:r>
      <w:r w:rsidR="00F82593" w:rsidRPr="00B92774">
        <w:rPr>
          <w:bCs/>
          <w:sz w:val="22"/>
          <w:szCs w:val="22"/>
        </w:rPr>
        <w:t xml:space="preserve">ontributions and </w:t>
      </w:r>
      <w:r w:rsidR="00F82593" w:rsidRPr="00B92774">
        <w:rPr>
          <w:bCs/>
          <w:sz w:val="22"/>
          <w:szCs w:val="22"/>
        </w:rPr>
        <w:br/>
      </w:r>
      <w:r w:rsidR="00B92774">
        <w:rPr>
          <w:bCs/>
          <w:sz w:val="22"/>
          <w:szCs w:val="22"/>
        </w:rPr>
        <w:t>a</w:t>
      </w:r>
      <w:r w:rsidR="00F82593" w:rsidRPr="00B92774">
        <w:rPr>
          <w:bCs/>
          <w:sz w:val="22"/>
          <w:szCs w:val="22"/>
        </w:rPr>
        <w:t>ssistance of</w:t>
      </w:r>
      <w:r w:rsidR="00B92774">
        <w:rPr>
          <w:bCs/>
          <w:sz w:val="22"/>
          <w:szCs w:val="22"/>
        </w:rPr>
        <w:t xml:space="preserve"> the following p</w:t>
      </w:r>
      <w:r w:rsidR="00F82593" w:rsidRPr="00B92774">
        <w:rPr>
          <w:bCs/>
          <w:sz w:val="22"/>
          <w:szCs w:val="22"/>
        </w:rPr>
        <w:t>eople:</w:t>
      </w:r>
      <w:r w:rsidR="00B92774" w:rsidRPr="00B92774">
        <w:rPr>
          <w:bCs/>
          <w:sz w:val="22"/>
          <w:szCs w:val="22"/>
        </w:rPr>
        <w:t xml:space="preserve"> </w:t>
      </w:r>
      <w:r w:rsidR="00F82593" w:rsidRPr="00B92774">
        <w:rPr>
          <w:sz w:val="22"/>
          <w:szCs w:val="22"/>
          <w:highlight w:val="yellow"/>
        </w:rPr>
        <w:t xml:space="preserve">Site staff or others </w:t>
      </w:r>
    </w:p>
    <w:p w14:paraId="5D05A01D" w14:textId="77777777" w:rsidR="00F82593" w:rsidRDefault="00F82593">
      <w:pPr>
        <w:rPr>
          <w:sz w:val="22"/>
          <w:szCs w:val="22"/>
          <w:highlight w:val="yellow"/>
        </w:rPr>
      </w:pPr>
      <w:r>
        <w:rPr>
          <w:sz w:val="22"/>
          <w:szCs w:val="22"/>
          <w:highlight w:val="yellow"/>
        </w:rPr>
        <w:br w:type="page"/>
      </w:r>
    </w:p>
    <w:sdt>
      <w:sdtPr>
        <w:rPr>
          <w:rFonts w:eastAsia="Times New Roman"/>
          <w:b w:val="0"/>
          <w:bCs w:val="0"/>
          <w:color w:val="auto"/>
          <w:sz w:val="24"/>
          <w:szCs w:val="20"/>
        </w:rPr>
        <w:id w:val="-1900512262"/>
        <w:docPartObj>
          <w:docPartGallery w:val="Table of Contents"/>
          <w:docPartUnique/>
        </w:docPartObj>
      </w:sdtPr>
      <w:sdtEndPr>
        <w:rPr>
          <w:noProof/>
        </w:rPr>
      </w:sdtEndPr>
      <w:sdtContent>
        <w:p w14:paraId="3BDC5B11" w14:textId="77777777" w:rsidR="00F82593" w:rsidRPr="009C0EB9" w:rsidRDefault="00F82593" w:rsidP="00D71008">
          <w:pPr>
            <w:pStyle w:val="TOCHeading"/>
            <w:jc w:val="center"/>
            <w:rPr>
              <w:color w:val="auto"/>
            </w:rPr>
          </w:pPr>
          <w:r w:rsidRPr="009C0EB9">
            <w:rPr>
              <w:color w:val="auto"/>
            </w:rPr>
            <w:t>Table of Contents</w:t>
          </w:r>
        </w:p>
        <w:p w14:paraId="547762BD" w14:textId="77777777" w:rsidR="003B3F31" w:rsidRPr="009C0EB9" w:rsidRDefault="00196A04">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b w:val="0"/>
            </w:rPr>
            <w:fldChar w:fldCharType="begin"/>
          </w:r>
          <w:r w:rsidRPr="009C0EB9">
            <w:rPr>
              <w:rFonts w:ascii="Times New Roman" w:hAnsi="Times New Roman"/>
              <w:b w:val="0"/>
            </w:rPr>
            <w:instrText xml:space="preserve"> TOC \o "1-2" </w:instrText>
          </w:r>
          <w:r w:rsidRPr="009C0EB9">
            <w:rPr>
              <w:rFonts w:ascii="Times New Roman" w:hAnsi="Times New Roman"/>
              <w:b w:val="0"/>
            </w:rPr>
            <w:fldChar w:fldCharType="separate"/>
          </w:r>
          <w:r w:rsidR="003B3F31" w:rsidRPr="009C0EB9">
            <w:rPr>
              <w:rFonts w:ascii="Times New Roman" w:hAnsi="Times New Roman"/>
              <w:noProof/>
            </w:rPr>
            <w:t>List of Abbreviations</w:t>
          </w:r>
          <w:r w:rsidR="003B3F31" w:rsidRPr="009C0EB9">
            <w:rPr>
              <w:rFonts w:ascii="Times New Roman" w:hAnsi="Times New Roman"/>
              <w:noProof/>
            </w:rPr>
            <w:tab/>
          </w:r>
          <w:r w:rsidR="003B3F31" w:rsidRPr="009C0EB9">
            <w:rPr>
              <w:rFonts w:ascii="Times New Roman" w:hAnsi="Times New Roman"/>
              <w:noProof/>
            </w:rPr>
            <w:fldChar w:fldCharType="begin"/>
          </w:r>
          <w:r w:rsidR="003B3F31" w:rsidRPr="009C0EB9">
            <w:rPr>
              <w:rFonts w:ascii="Times New Roman" w:hAnsi="Times New Roman"/>
              <w:noProof/>
            </w:rPr>
            <w:instrText xml:space="preserve"> PAGEREF _Toc328915515 \h </w:instrText>
          </w:r>
          <w:r w:rsidR="003B3F31" w:rsidRPr="009C0EB9">
            <w:rPr>
              <w:rFonts w:ascii="Times New Roman" w:hAnsi="Times New Roman"/>
              <w:noProof/>
            </w:rPr>
          </w:r>
          <w:r w:rsidR="003B3F31" w:rsidRPr="009C0EB9">
            <w:rPr>
              <w:rFonts w:ascii="Times New Roman" w:hAnsi="Times New Roman"/>
              <w:noProof/>
            </w:rPr>
            <w:fldChar w:fldCharType="separate"/>
          </w:r>
          <w:r w:rsidR="003B3F31" w:rsidRPr="009C0EB9">
            <w:rPr>
              <w:rFonts w:ascii="Times New Roman" w:hAnsi="Times New Roman"/>
              <w:noProof/>
            </w:rPr>
            <w:t>4</w:t>
          </w:r>
          <w:r w:rsidR="003B3F31" w:rsidRPr="009C0EB9">
            <w:rPr>
              <w:rFonts w:ascii="Times New Roman" w:hAnsi="Times New Roman"/>
              <w:noProof/>
            </w:rPr>
            <w:fldChar w:fldCharType="end"/>
          </w:r>
        </w:p>
        <w:p w14:paraId="0313C860"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1. Executive Summary</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_Toc328915516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5</w:t>
          </w:r>
          <w:r w:rsidRPr="009C0EB9">
            <w:rPr>
              <w:rFonts w:ascii="Times New Roman" w:hAnsi="Times New Roman"/>
              <w:noProof/>
            </w:rPr>
            <w:fldChar w:fldCharType="end"/>
          </w:r>
        </w:p>
        <w:p w14:paraId="28FACAF1"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2. Facility Overview</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_Toc328915517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6</w:t>
          </w:r>
          <w:r w:rsidRPr="009C0EB9">
            <w:rPr>
              <w:rFonts w:ascii="Times New Roman" w:hAnsi="Times New Roman"/>
              <w:noProof/>
            </w:rPr>
            <w:fldChar w:fldCharType="end"/>
          </w:r>
        </w:p>
        <w:p w14:paraId="38483EA5"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3. Facility Energy Use</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_Toc328915518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7</w:t>
          </w:r>
          <w:r w:rsidRPr="009C0EB9">
            <w:rPr>
              <w:rFonts w:ascii="Times New Roman" w:hAnsi="Times New Roman"/>
              <w:noProof/>
            </w:rPr>
            <w:fldChar w:fldCharType="end"/>
          </w:r>
        </w:p>
        <w:p w14:paraId="4698082C"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4. Cooling System Description</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_Toc328915519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8</w:t>
          </w:r>
          <w:r w:rsidRPr="009C0EB9">
            <w:rPr>
              <w:rFonts w:ascii="Times New Roman" w:hAnsi="Times New Roman"/>
              <w:noProof/>
            </w:rPr>
            <w:fldChar w:fldCharType="end"/>
          </w:r>
        </w:p>
        <w:p w14:paraId="517E5DB8"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5. Electrical System Description</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_Toc328915520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9</w:t>
          </w:r>
          <w:r w:rsidRPr="009C0EB9">
            <w:rPr>
              <w:rFonts w:ascii="Times New Roman" w:hAnsi="Times New Roman"/>
              <w:noProof/>
            </w:rPr>
            <w:fldChar w:fldCharType="end"/>
          </w:r>
        </w:p>
        <w:p w14:paraId="77DE3E99"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6. Benchmarking</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_Toc328915521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10</w:t>
          </w:r>
          <w:r w:rsidRPr="009C0EB9">
            <w:rPr>
              <w:rFonts w:ascii="Times New Roman" w:hAnsi="Times New Roman"/>
              <w:noProof/>
            </w:rPr>
            <w:fldChar w:fldCharType="end"/>
          </w:r>
        </w:p>
        <w:p w14:paraId="24145CDC" w14:textId="77777777" w:rsidR="003B3F31" w:rsidRPr="009C0EB9" w:rsidRDefault="003B3F31">
          <w:pPr>
            <w:pStyle w:val="TOC1"/>
            <w:tabs>
              <w:tab w:val="right" w:leader="dot" w:pos="8630"/>
            </w:tabs>
            <w:rPr>
              <w:rFonts w:ascii="Times New Roman" w:eastAsiaTheme="minorEastAsia" w:hAnsi="Times New Roman"/>
              <w:b w:val="0"/>
              <w:noProof/>
              <w:lang w:eastAsia="ja-JP"/>
            </w:rPr>
          </w:pPr>
          <w:r w:rsidRPr="009C0EB9">
            <w:rPr>
              <w:rFonts w:ascii="Times New Roman" w:hAnsi="Times New Roman"/>
              <w:noProof/>
            </w:rPr>
            <w:t>7. Recommended Energy Efficiency Measures</w:t>
          </w:r>
          <w:r w:rsidRPr="009C0EB9">
            <w:rPr>
              <w:rFonts w:ascii="Times New Roman" w:hAnsi="Times New Roman"/>
              <w:noProof/>
            </w:rPr>
            <w:tab/>
          </w:r>
          <w:r w:rsidRPr="009C0EB9">
            <w:rPr>
              <w:rFonts w:ascii="Times New Roman" w:hAnsi="Times New Roman"/>
              <w:noProof/>
            </w:rPr>
            <w:fldChar w:fldCharType="begin"/>
          </w:r>
          <w:r w:rsidRPr="009C0EB9">
            <w:rPr>
              <w:rFonts w:ascii="Times New Roman" w:hAnsi="Times New Roman"/>
              <w:noProof/>
            </w:rPr>
            <w:instrText xml:space="preserve"> PAGEREF _Toc328915522 \h </w:instrText>
          </w:r>
          <w:r w:rsidRPr="009C0EB9">
            <w:rPr>
              <w:rFonts w:ascii="Times New Roman" w:hAnsi="Times New Roman"/>
              <w:noProof/>
            </w:rPr>
          </w:r>
          <w:r w:rsidRPr="009C0EB9">
            <w:rPr>
              <w:rFonts w:ascii="Times New Roman" w:hAnsi="Times New Roman"/>
              <w:noProof/>
            </w:rPr>
            <w:fldChar w:fldCharType="separate"/>
          </w:r>
          <w:r w:rsidRPr="009C0EB9">
            <w:rPr>
              <w:rFonts w:ascii="Times New Roman" w:hAnsi="Times New Roman"/>
              <w:noProof/>
            </w:rPr>
            <w:t>14</w:t>
          </w:r>
          <w:r w:rsidRPr="009C0EB9">
            <w:rPr>
              <w:rFonts w:ascii="Times New Roman" w:hAnsi="Times New Roman"/>
              <w:noProof/>
            </w:rPr>
            <w:fldChar w:fldCharType="end"/>
          </w:r>
        </w:p>
        <w:p w14:paraId="2139C5E1" w14:textId="6A43C726" w:rsidR="00F82593" w:rsidRPr="00D71008" w:rsidRDefault="00196A04">
          <w:r w:rsidRPr="009C0EB9">
            <w:rPr>
              <w:b/>
              <w:szCs w:val="24"/>
            </w:rPr>
            <w:fldChar w:fldCharType="end"/>
          </w:r>
        </w:p>
      </w:sdtContent>
    </w:sdt>
    <w:p w14:paraId="40690907" w14:textId="77777777" w:rsidR="00F82593" w:rsidRPr="00D71008" w:rsidRDefault="00F82593" w:rsidP="00F82593">
      <w:pPr>
        <w:rPr>
          <w:sz w:val="22"/>
          <w:szCs w:val="22"/>
        </w:rPr>
      </w:pPr>
      <w:r w:rsidRPr="00D71008">
        <w:rPr>
          <w:sz w:val="22"/>
          <w:szCs w:val="22"/>
        </w:rPr>
        <w:br w:type="page"/>
      </w:r>
    </w:p>
    <w:p w14:paraId="188C258A" w14:textId="77777777" w:rsidR="00F82593" w:rsidRPr="00853737" w:rsidRDefault="00F82593" w:rsidP="000C14FF">
      <w:pPr>
        <w:pStyle w:val="Heading1"/>
      </w:pPr>
      <w:bookmarkStart w:id="2" w:name="_Toc328915515"/>
      <w:r w:rsidRPr="00853737">
        <w:t>List of Abbreviations</w:t>
      </w:r>
      <w:bookmarkEnd w:id="2"/>
    </w:p>
    <w:p w14:paraId="5388EA5C" w14:textId="77777777" w:rsidR="00F82593" w:rsidRPr="00F82593" w:rsidRDefault="00F82593" w:rsidP="00F82593">
      <w:pPr>
        <w:rPr>
          <w:sz w:val="22"/>
          <w:szCs w:val="22"/>
        </w:rPr>
      </w:pPr>
      <w:r w:rsidRPr="00F82593">
        <w:rPr>
          <w:b/>
          <w:sz w:val="22"/>
          <w:szCs w:val="22"/>
        </w:rPr>
        <w:t>AC</w:t>
      </w:r>
      <w:r w:rsidRPr="00F82593">
        <w:rPr>
          <w:sz w:val="22"/>
          <w:szCs w:val="22"/>
        </w:rPr>
        <w:t xml:space="preserve"> – Alternating Current</w:t>
      </w:r>
    </w:p>
    <w:p w14:paraId="4693B359" w14:textId="77777777" w:rsidR="00F82593" w:rsidRPr="00F82593" w:rsidRDefault="00F82593" w:rsidP="00F82593">
      <w:pPr>
        <w:rPr>
          <w:sz w:val="22"/>
          <w:szCs w:val="22"/>
        </w:rPr>
      </w:pPr>
      <w:r w:rsidRPr="00F82593">
        <w:rPr>
          <w:b/>
          <w:sz w:val="22"/>
          <w:szCs w:val="22"/>
        </w:rPr>
        <w:t xml:space="preserve">ASHRAE </w:t>
      </w:r>
      <w:r w:rsidRPr="00F82593">
        <w:rPr>
          <w:sz w:val="22"/>
          <w:szCs w:val="22"/>
        </w:rPr>
        <w:t>– American Society of Heating, Refrigerating, and Air-Conditioning Engineers</w:t>
      </w:r>
    </w:p>
    <w:p w14:paraId="2B5434B3" w14:textId="77777777" w:rsidR="00F82593" w:rsidRPr="00F82593" w:rsidRDefault="00F82593" w:rsidP="00F82593">
      <w:pPr>
        <w:rPr>
          <w:sz w:val="22"/>
          <w:szCs w:val="22"/>
        </w:rPr>
      </w:pPr>
      <w:r w:rsidRPr="00F82593">
        <w:rPr>
          <w:b/>
          <w:sz w:val="22"/>
          <w:szCs w:val="22"/>
        </w:rPr>
        <w:t>BTU/sf-y</w:t>
      </w:r>
      <w:r w:rsidRPr="00F82593">
        <w:rPr>
          <w:sz w:val="22"/>
          <w:szCs w:val="22"/>
        </w:rPr>
        <w:t xml:space="preserve"> – British Thermal Units per square foot per year</w:t>
      </w:r>
    </w:p>
    <w:p w14:paraId="587688EC" w14:textId="77777777" w:rsidR="00F82593" w:rsidRPr="00F82593" w:rsidRDefault="00F82593" w:rsidP="00F82593">
      <w:pPr>
        <w:rPr>
          <w:sz w:val="22"/>
          <w:szCs w:val="22"/>
        </w:rPr>
      </w:pPr>
      <w:r w:rsidRPr="00F82593">
        <w:rPr>
          <w:b/>
          <w:sz w:val="22"/>
          <w:szCs w:val="22"/>
        </w:rPr>
        <w:t xml:space="preserve">CRAC </w:t>
      </w:r>
      <w:r w:rsidRPr="00F82593">
        <w:rPr>
          <w:sz w:val="22"/>
          <w:szCs w:val="22"/>
        </w:rPr>
        <w:t>– Computer Room Air-Conditioner (with internal refrigerant compressor)</w:t>
      </w:r>
    </w:p>
    <w:p w14:paraId="566FB407" w14:textId="77777777" w:rsidR="00F82593" w:rsidRPr="00F82593" w:rsidRDefault="00F82593" w:rsidP="00F82593">
      <w:pPr>
        <w:rPr>
          <w:sz w:val="22"/>
          <w:szCs w:val="22"/>
        </w:rPr>
      </w:pPr>
      <w:r w:rsidRPr="00F82593">
        <w:rPr>
          <w:b/>
          <w:sz w:val="22"/>
          <w:szCs w:val="22"/>
        </w:rPr>
        <w:t>CRAH</w:t>
      </w:r>
      <w:r w:rsidRPr="00F82593">
        <w:rPr>
          <w:sz w:val="22"/>
          <w:szCs w:val="22"/>
        </w:rPr>
        <w:t xml:space="preserve"> – Computer Room Air Handler (with chilled water coil)</w:t>
      </w:r>
    </w:p>
    <w:p w14:paraId="165A58C5" w14:textId="77777777" w:rsidR="00F82593" w:rsidRPr="00F82593" w:rsidRDefault="00F82593" w:rsidP="00F82593">
      <w:pPr>
        <w:rPr>
          <w:sz w:val="22"/>
          <w:szCs w:val="22"/>
        </w:rPr>
      </w:pPr>
      <w:r w:rsidRPr="00F82593">
        <w:rPr>
          <w:b/>
          <w:sz w:val="22"/>
          <w:szCs w:val="22"/>
        </w:rPr>
        <w:t xml:space="preserve">DC </w:t>
      </w:r>
      <w:r w:rsidRPr="00F82593">
        <w:rPr>
          <w:sz w:val="22"/>
          <w:szCs w:val="22"/>
        </w:rPr>
        <w:t>– Direct Current</w:t>
      </w:r>
    </w:p>
    <w:p w14:paraId="230C4A72" w14:textId="77777777" w:rsidR="00F82593" w:rsidRPr="00F82593" w:rsidRDefault="00F82593" w:rsidP="00F82593">
      <w:pPr>
        <w:rPr>
          <w:sz w:val="22"/>
          <w:szCs w:val="22"/>
        </w:rPr>
      </w:pPr>
      <w:r w:rsidRPr="00F82593">
        <w:rPr>
          <w:b/>
          <w:sz w:val="22"/>
          <w:szCs w:val="22"/>
        </w:rPr>
        <w:t>EEM</w:t>
      </w:r>
      <w:r w:rsidRPr="00F82593">
        <w:rPr>
          <w:sz w:val="22"/>
          <w:szCs w:val="22"/>
        </w:rPr>
        <w:t xml:space="preserve"> – Energy Efficiency Measure</w:t>
      </w:r>
    </w:p>
    <w:p w14:paraId="2990B8D4" w14:textId="77777777" w:rsidR="00F82593" w:rsidRPr="00F82593" w:rsidRDefault="00F82593" w:rsidP="00F82593">
      <w:pPr>
        <w:rPr>
          <w:sz w:val="22"/>
          <w:szCs w:val="22"/>
        </w:rPr>
      </w:pPr>
      <w:r w:rsidRPr="00F82593">
        <w:rPr>
          <w:b/>
          <w:sz w:val="22"/>
          <w:szCs w:val="22"/>
        </w:rPr>
        <w:t>ECM</w:t>
      </w:r>
      <w:r w:rsidRPr="00F82593">
        <w:rPr>
          <w:sz w:val="22"/>
          <w:szCs w:val="22"/>
        </w:rPr>
        <w:t xml:space="preserve"> – Electronically Commutated Motor</w:t>
      </w:r>
    </w:p>
    <w:p w14:paraId="300F6672" w14:textId="77777777" w:rsidR="00F82593" w:rsidRPr="00F82593" w:rsidRDefault="00F82593" w:rsidP="00F82593">
      <w:pPr>
        <w:rPr>
          <w:sz w:val="22"/>
          <w:szCs w:val="22"/>
        </w:rPr>
      </w:pPr>
      <w:r w:rsidRPr="00F82593">
        <w:rPr>
          <w:b/>
          <w:sz w:val="22"/>
          <w:szCs w:val="22"/>
        </w:rPr>
        <w:t>°F</w:t>
      </w:r>
      <w:r w:rsidRPr="00F82593">
        <w:rPr>
          <w:sz w:val="22"/>
          <w:szCs w:val="22"/>
        </w:rPr>
        <w:t xml:space="preserve"> – degree(s) Fahrenheit</w:t>
      </w:r>
    </w:p>
    <w:p w14:paraId="59D9FD8D" w14:textId="77777777" w:rsidR="00F82593" w:rsidRPr="00F82593" w:rsidRDefault="00F82593" w:rsidP="00F82593">
      <w:pPr>
        <w:rPr>
          <w:sz w:val="22"/>
          <w:szCs w:val="22"/>
        </w:rPr>
      </w:pPr>
      <w:r w:rsidRPr="00F82593">
        <w:rPr>
          <w:b/>
          <w:sz w:val="22"/>
          <w:szCs w:val="22"/>
        </w:rPr>
        <w:t>GWh/yr</w:t>
      </w:r>
      <w:r w:rsidRPr="00F82593">
        <w:rPr>
          <w:sz w:val="22"/>
          <w:szCs w:val="22"/>
        </w:rPr>
        <w:t xml:space="preserve"> – GigaWatt Hours per year (millions of kWh/yr)</w:t>
      </w:r>
    </w:p>
    <w:p w14:paraId="1AE0F7C5" w14:textId="77777777" w:rsidR="00F82593" w:rsidRPr="00F82593" w:rsidRDefault="00F82593" w:rsidP="00F82593">
      <w:pPr>
        <w:rPr>
          <w:sz w:val="22"/>
          <w:szCs w:val="22"/>
        </w:rPr>
      </w:pPr>
      <w:r w:rsidRPr="00F82593">
        <w:rPr>
          <w:b/>
          <w:sz w:val="22"/>
          <w:szCs w:val="22"/>
        </w:rPr>
        <w:t>HVAC</w:t>
      </w:r>
      <w:r w:rsidRPr="00F82593">
        <w:rPr>
          <w:sz w:val="22"/>
          <w:szCs w:val="22"/>
        </w:rPr>
        <w:t xml:space="preserve"> – Heating, Ventilating, and Air-Conditioning</w:t>
      </w:r>
    </w:p>
    <w:p w14:paraId="438E0979" w14:textId="77777777" w:rsidR="00F82593" w:rsidRPr="00F82593" w:rsidRDefault="00F82593" w:rsidP="00F82593">
      <w:pPr>
        <w:rPr>
          <w:sz w:val="22"/>
          <w:szCs w:val="22"/>
        </w:rPr>
      </w:pPr>
      <w:r w:rsidRPr="00F82593">
        <w:rPr>
          <w:b/>
          <w:sz w:val="22"/>
          <w:szCs w:val="22"/>
        </w:rPr>
        <w:t>IT</w:t>
      </w:r>
      <w:r w:rsidRPr="00F82593">
        <w:rPr>
          <w:sz w:val="22"/>
          <w:szCs w:val="22"/>
        </w:rPr>
        <w:t xml:space="preserve"> – Information Technology</w:t>
      </w:r>
    </w:p>
    <w:p w14:paraId="3B0E36AE" w14:textId="77777777" w:rsidR="00F82593" w:rsidRPr="00F82593" w:rsidRDefault="00F82593" w:rsidP="00F82593">
      <w:pPr>
        <w:rPr>
          <w:sz w:val="22"/>
          <w:szCs w:val="22"/>
        </w:rPr>
      </w:pPr>
      <w:r w:rsidRPr="00F82593">
        <w:rPr>
          <w:b/>
          <w:sz w:val="22"/>
          <w:szCs w:val="22"/>
        </w:rPr>
        <w:t>kV</w:t>
      </w:r>
      <w:r w:rsidRPr="00F82593">
        <w:rPr>
          <w:sz w:val="22"/>
          <w:szCs w:val="22"/>
        </w:rPr>
        <w:t xml:space="preserve"> – kiloVolts (thousands of volts of electrical potential)</w:t>
      </w:r>
    </w:p>
    <w:p w14:paraId="2B54953E" w14:textId="77777777" w:rsidR="00F82593" w:rsidRPr="00F82593" w:rsidRDefault="00F82593" w:rsidP="00F82593">
      <w:pPr>
        <w:rPr>
          <w:sz w:val="22"/>
          <w:szCs w:val="22"/>
        </w:rPr>
      </w:pPr>
      <w:r w:rsidRPr="00F82593">
        <w:rPr>
          <w:b/>
          <w:sz w:val="22"/>
          <w:szCs w:val="22"/>
        </w:rPr>
        <w:t>kVA</w:t>
      </w:r>
      <w:r w:rsidRPr="00F82593">
        <w:rPr>
          <w:sz w:val="22"/>
          <w:szCs w:val="22"/>
        </w:rPr>
        <w:t xml:space="preserve"> - kiloVolt-Amperes of apparent power</w:t>
      </w:r>
    </w:p>
    <w:p w14:paraId="66EE31CE" w14:textId="77777777" w:rsidR="00F82593" w:rsidRPr="00F82593" w:rsidRDefault="00F82593" w:rsidP="00F82593">
      <w:pPr>
        <w:rPr>
          <w:sz w:val="22"/>
          <w:szCs w:val="22"/>
        </w:rPr>
      </w:pPr>
      <w:r w:rsidRPr="00F82593">
        <w:rPr>
          <w:b/>
          <w:sz w:val="22"/>
          <w:szCs w:val="22"/>
        </w:rPr>
        <w:t>kW</w:t>
      </w:r>
      <w:r w:rsidRPr="00F82593">
        <w:rPr>
          <w:sz w:val="22"/>
          <w:szCs w:val="22"/>
        </w:rPr>
        <w:t xml:space="preserve"> – kiloWatts of real power</w:t>
      </w:r>
    </w:p>
    <w:p w14:paraId="5AF99436" w14:textId="77777777" w:rsidR="00F82593" w:rsidRPr="00F82593" w:rsidRDefault="00F82593" w:rsidP="00F82593">
      <w:pPr>
        <w:rPr>
          <w:sz w:val="22"/>
          <w:szCs w:val="22"/>
        </w:rPr>
      </w:pPr>
      <w:r w:rsidRPr="00F82593">
        <w:rPr>
          <w:b/>
          <w:sz w:val="22"/>
          <w:szCs w:val="22"/>
        </w:rPr>
        <w:t>kWh</w:t>
      </w:r>
      <w:r w:rsidRPr="00F82593">
        <w:rPr>
          <w:sz w:val="22"/>
          <w:szCs w:val="22"/>
        </w:rPr>
        <w:t xml:space="preserve"> – kiloWatt hour</w:t>
      </w:r>
    </w:p>
    <w:p w14:paraId="33B7B66E" w14:textId="77777777" w:rsidR="00F82593" w:rsidRPr="00F82593" w:rsidRDefault="00F82593" w:rsidP="00F82593">
      <w:pPr>
        <w:rPr>
          <w:sz w:val="22"/>
          <w:szCs w:val="22"/>
        </w:rPr>
      </w:pPr>
      <w:r w:rsidRPr="00F82593">
        <w:rPr>
          <w:b/>
          <w:sz w:val="22"/>
          <w:szCs w:val="22"/>
        </w:rPr>
        <w:t>PDU</w:t>
      </w:r>
      <w:r w:rsidRPr="00F82593">
        <w:rPr>
          <w:sz w:val="22"/>
          <w:szCs w:val="22"/>
        </w:rPr>
        <w:t xml:space="preserve"> – Power Distribution Unit</w:t>
      </w:r>
    </w:p>
    <w:p w14:paraId="29DE797F" w14:textId="77777777" w:rsidR="00F82593" w:rsidRPr="00F82593" w:rsidRDefault="00F82593" w:rsidP="00F82593">
      <w:pPr>
        <w:rPr>
          <w:sz w:val="22"/>
          <w:szCs w:val="22"/>
        </w:rPr>
      </w:pPr>
      <w:r w:rsidRPr="00F82593">
        <w:rPr>
          <w:b/>
          <w:sz w:val="22"/>
          <w:szCs w:val="22"/>
        </w:rPr>
        <w:t>PUE</w:t>
      </w:r>
      <w:r w:rsidRPr="00F82593">
        <w:rPr>
          <w:sz w:val="22"/>
          <w:szCs w:val="22"/>
        </w:rPr>
        <w:t xml:space="preserve"> – Power Usage Effectiveness</w:t>
      </w:r>
    </w:p>
    <w:p w14:paraId="56E7C751" w14:textId="77777777" w:rsidR="00F82593" w:rsidRPr="00F82593" w:rsidRDefault="00F82593" w:rsidP="00F82593">
      <w:pPr>
        <w:rPr>
          <w:sz w:val="22"/>
          <w:szCs w:val="22"/>
        </w:rPr>
      </w:pPr>
      <w:r w:rsidRPr="00F82593">
        <w:rPr>
          <w:b/>
          <w:sz w:val="22"/>
          <w:szCs w:val="22"/>
        </w:rPr>
        <w:t>RCI</w:t>
      </w:r>
      <w:r w:rsidRPr="00F82593">
        <w:rPr>
          <w:sz w:val="22"/>
          <w:szCs w:val="22"/>
        </w:rPr>
        <w:t xml:space="preserve"> – Rack Cooling Index</w:t>
      </w:r>
    </w:p>
    <w:p w14:paraId="14D64186" w14:textId="77777777" w:rsidR="00F82593" w:rsidRPr="00F82593" w:rsidRDefault="00F82593" w:rsidP="00F82593">
      <w:pPr>
        <w:rPr>
          <w:sz w:val="22"/>
          <w:szCs w:val="22"/>
        </w:rPr>
      </w:pPr>
      <w:r w:rsidRPr="00F82593">
        <w:rPr>
          <w:b/>
          <w:sz w:val="22"/>
          <w:szCs w:val="22"/>
        </w:rPr>
        <w:t xml:space="preserve">RTI </w:t>
      </w:r>
      <w:r w:rsidRPr="00F82593">
        <w:rPr>
          <w:sz w:val="22"/>
          <w:szCs w:val="22"/>
        </w:rPr>
        <w:t>– Return Temperature Index</w:t>
      </w:r>
    </w:p>
    <w:p w14:paraId="7A9C7603" w14:textId="77777777" w:rsidR="00F82593" w:rsidRPr="00F82593" w:rsidRDefault="00F82593" w:rsidP="00F82593">
      <w:pPr>
        <w:rPr>
          <w:sz w:val="22"/>
          <w:szCs w:val="22"/>
        </w:rPr>
      </w:pPr>
      <w:r w:rsidRPr="00F82593">
        <w:rPr>
          <w:b/>
          <w:sz w:val="22"/>
          <w:szCs w:val="22"/>
        </w:rPr>
        <w:t>RH</w:t>
      </w:r>
      <w:r w:rsidRPr="00F82593">
        <w:rPr>
          <w:sz w:val="22"/>
          <w:szCs w:val="22"/>
        </w:rPr>
        <w:t xml:space="preserve"> – Relative Humidity</w:t>
      </w:r>
    </w:p>
    <w:p w14:paraId="5F68441A" w14:textId="77777777" w:rsidR="00F82593" w:rsidRPr="00F82593" w:rsidRDefault="00F82593" w:rsidP="00F82593">
      <w:pPr>
        <w:rPr>
          <w:sz w:val="22"/>
          <w:szCs w:val="22"/>
        </w:rPr>
      </w:pPr>
      <w:r w:rsidRPr="00F82593">
        <w:rPr>
          <w:b/>
          <w:sz w:val="22"/>
          <w:szCs w:val="22"/>
        </w:rPr>
        <w:t xml:space="preserve">sf </w:t>
      </w:r>
      <w:r w:rsidRPr="00F82593">
        <w:rPr>
          <w:sz w:val="22"/>
          <w:szCs w:val="22"/>
        </w:rPr>
        <w:t>– square foot</w:t>
      </w:r>
    </w:p>
    <w:p w14:paraId="3E0992C1" w14:textId="77777777" w:rsidR="00F82593" w:rsidRPr="00F82593" w:rsidRDefault="00F82593" w:rsidP="00F82593">
      <w:pPr>
        <w:rPr>
          <w:sz w:val="22"/>
          <w:szCs w:val="22"/>
        </w:rPr>
      </w:pPr>
      <w:r w:rsidRPr="00F82593">
        <w:rPr>
          <w:b/>
          <w:sz w:val="22"/>
          <w:szCs w:val="22"/>
        </w:rPr>
        <w:t>TCO</w:t>
      </w:r>
      <w:r w:rsidRPr="00F82593">
        <w:rPr>
          <w:sz w:val="22"/>
          <w:szCs w:val="22"/>
        </w:rPr>
        <w:t xml:space="preserve"> – Total Cost of Ownership</w:t>
      </w:r>
    </w:p>
    <w:p w14:paraId="104FD2E1" w14:textId="77777777" w:rsidR="00F82593" w:rsidRPr="00F82593" w:rsidRDefault="00F82593" w:rsidP="00F82593">
      <w:pPr>
        <w:rPr>
          <w:sz w:val="22"/>
          <w:szCs w:val="22"/>
        </w:rPr>
      </w:pPr>
      <w:r w:rsidRPr="00F82593">
        <w:rPr>
          <w:b/>
          <w:sz w:val="22"/>
          <w:szCs w:val="22"/>
        </w:rPr>
        <w:t>UPS</w:t>
      </w:r>
      <w:r w:rsidRPr="00F82593">
        <w:rPr>
          <w:sz w:val="22"/>
          <w:szCs w:val="22"/>
        </w:rPr>
        <w:t xml:space="preserve"> – Uninterruptible Power Supply</w:t>
      </w:r>
    </w:p>
    <w:p w14:paraId="6159B044" w14:textId="77777777" w:rsidR="00F82593" w:rsidRPr="00F82593" w:rsidRDefault="00F82593" w:rsidP="00F82593">
      <w:pPr>
        <w:rPr>
          <w:sz w:val="22"/>
          <w:szCs w:val="22"/>
        </w:rPr>
      </w:pPr>
      <w:r w:rsidRPr="00F82593">
        <w:rPr>
          <w:b/>
          <w:sz w:val="22"/>
          <w:szCs w:val="22"/>
        </w:rPr>
        <w:t xml:space="preserve">V </w:t>
      </w:r>
      <w:r w:rsidRPr="00F82593">
        <w:rPr>
          <w:sz w:val="22"/>
          <w:szCs w:val="22"/>
        </w:rPr>
        <w:t>– Volt(s)</w:t>
      </w:r>
    </w:p>
    <w:p w14:paraId="48CC1930" w14:textId="77777777" w:rsidR="00F82593" w:rsidRPr="00F82593" w:rsidRDefault="00F82593" w:rsidP="00F82593">
      <w:pPr>
        <w:rPr>
          <w:sz w:val="22"/>
          <w:szCs w:val="22"/>
        </w:rPr>
      </w:pPr>
      <w:r w:rsidRPr="00F82593">
        <w:rPr>
          <w:b/>
          <w:sz w:val="22"/>
          <w:szCs w:val="22"/>
        </w:rPr>
        <w:t>VFD</w:t>
      </w:r>
      <w:r w:rsidRPr="00F82593">
        <w:rPr>
          <w:sz w:val="22"/>
          <w:szCs w:val="22"/>
        </w:rPr>
        <w:t xml:space="preserve"> – Variable Frequency Drive (for operating motors at variable speed)</w:t>
      </w:r>
    </w:p>
    <w:p w14:paraId="58EF2346" w14:textId="77777777" w:rsidR="00F82593" w:rsidRPr="00F82593" w:rsidRDefault="00F82593" w:rsidP="00F82593">
      <w:pPr>
        <w:rPr>
          <w:sz w:val="22"/>
          <w:szCs w:val="22"/>
        </w:rPr>
      </w:pPr>
      <w:r w:rsidRPr="00F82593">
        <w:rPr>
          <w:b/>
          <w:sz w:val="22"/>
          <w:szCs w:val="22"/>
        </w:rPr>
        <w:t>W/cfm</w:t>
      </w:r>
      <w:r w:rsidRPr="00F82593">
        <w:rPr>
          <w:sz w:val="22"/>
          <w:szCs w:val="22"/>
        </w:rPr>
        <w:t xml:space="preserve"> – Watts (of electrical power input) per cubic feet per minute (of air flow)</w:t>
      </w:r>
    </w:p>
    <w:p w14:paraId="6929104A" w14:textId="77777777" w:rsidR="00F82593" w:rsidRDefault="00F82593" w:rsidP="00F82593">
      <w:pPr>
        <w:rPr>
          <w:sz w:val="22"/>
          <w:szCs w:val="22"/>
        </w:rPr>
      </w:pPr>
      <w:r w:rsidRPr="00F82593">
        <w:rPr>
          <w:b/>
          <w:sz w:val="22"/>
          <w:szCs w:val="22"/>
        </w:rPr>
        <w:t>W/gpm</w:t>
      </w:r>
      <w:r w:rsidRPr="00F82593">
        <w:rPr>
          <w:sz w:val="22"/>
          <w:szCs w:val="22"/>
        </w:rPr>
        <w:t xml:space="preserve"> - Watts (of electrical power input) per gallon per minute (of water flow)W/sf – watts per square foot</w:t>
      </w:r>
    </w:p>
    <w:p w14:paraId="6762DB3F" w14:textId="77777777" w:rsidR="00F82593" w:rsidRDefault="00F82593">
      <w:pPr>
        <w:rPr>
          <w:sz w:val="22"/>
          <w:szCs w:val="22"/>
        </w:rPr>
      </w:pPr>
      <w:r>
        <w:rPr>
          <w:sz w:val="22"/>
          <w:szCs w:val="22"/>
        </w:rPr>
        <w:br w:type="page"/>
      </w:r>
    </w:p>
    <w:p w14:paraId="5681DD19" w14:textId="77777777" w:rsidR="00F82593" w:rsidRPr="00853737" w:rsidRDefault="00F82593" w:rsidP="000C14FF">
      <w:pPr>
        <w:pStyle w:val="Heading1"/>
      </w:pPr>
      <w:bookmarkStart w:id="3" w:name="_Toc328915516"/>
      <w:r w:rsidRPr="00853737">
        <w:t>1. Executive Summary</w:t>
      </w:r>
      <w:bookmarkEnd w:id="3"/>
    </w:p>
    <w:p w14:paraId="4F0BE06C" w14:textId="77777777" w:rsidR="00F82593" w:rsidRPr="00EB159B" w:rsidRDefault="00F82593" w:rsidP="00F82593">
      <w:pPr>
        <w:jc w:val="center"/>
        <w:rPr>
          <w:sz w:val="22"/>
          <w:szCs w:val="22"/>
        </w:rPr>
      </w:pPr>
    </w:p>
    <w:p w14:paraId="15AD6EFF" w14:textId="5832B814" w:rsidR="00F82593" w:rsidRDefault="00362795" w:rsidP="00F82593">
      <w:pPr>
        <w:pStyle w:val="SpaceAfter"/>
        <w:ind w:left="0"/>
        <w:jc w:val="both"/>
      </w:pPr>
      <w:r>
        <w:rPr>
          <w:highlight w:val="yellow"/>
        </w:rPr>
        <w:t xml:space="preserve">Summarize the basic information: </w:t>
      </w:r>
      <w:r w:rsidR="00F82593">
        <w:rPr>
          <w:highlight w:val="yellow"/>
        </w:rPr>
        <w:t xml:space="preserve">who </w:t>
      </w:r>
      <w:r w:rsidR="00F82593" w:rsidRPr="00EB159B">
        <w:rPr>
          <w:highlight w:val="yellow"/>
        </w:rPr>
        <w:t>sponsor</w:t>
      </w:r>
      <w:r w:rsidR="00F82593">
        <w:rPr>
          <w:highlight w:val="yellow"/>
        </w:rPr>
        <w:t>ed the energy assessment</w:t>
      </w:r>
      <w:r w:rsidR="00F82593" w:rsidRPr="00EB159B">
        <w:rPr>
          <w:highlight w:val="yellow"/>
        </w:rPr>
        <w:t xml:space="preserve">, </w:t>
      </w:r>
      <w:r w:rsidR="0081539B">
        <w:rPr>
          <w:highlight w:val="yellow"/>
        </w:rPr>
        <w:t xml:space="preserve">purpose of the assessment, the contractor, </w:t>
      </w:r>
      <w:r w:rsidR="00F82593" w:rsidRPr="00EB159B">
        <w:rPr>
          <w:highlight w:val="yellow"/>
        </w:rPr>
        <w:t>site</w:t>
      </w:r>
      <w:r w:rsidR="00FA7BED">
        <w:rPr>
          <w:highlight w:val="yellow"/>
        </w:rPr>
        <w:t xml:space="preserve"> name and region it’s located</w:t>
      </w:r>
      <w:r w:rsidR="0081539B">
        <w:rPr>
          <w:highlight w:val="yellow"/>
        </w:rPr>
        <w:t>. Also include a</w:t>
      </w:r>
      <w:r w:rsidR="00F82593" w:rsidRPr="00EB159B">
        <w:rPr>
          <w:highlight w:val="yellow"/>
        </w:rPr>
        <w:t xml:space="preserve"> </w:t>
      </w:r>
      <w:r w:rsidR="00F82593">
        <w:rPr>
          <w:highlight w:val="yellow"/>
        </w:rPr>
        <w:t>brief description of</w:t>
      </w:r>
      <w:r w:rsidR="0081539B">
        <w:rPr>
          <w:highlight w:val="yellow"/>
        </w:rPr>
        <w:t xml:space="preserve"> the</w:t>
      </w:r>
      <w:r w:rsidR="00F82593">
        <w:rPr>
          <w:highlight w:val="yellow"/>
        </w:rPr>
        <w:t xml:space="preserve"> site including limitations faced when conducting the energy assessment</w:t>
      </w:r>
      <w:r w:rsidR="00F82593" w:rsidRPr="00EB159B">
        <w:rPr>
          <w:highlight w:val="yellow"/>
        </w:rPr>
        <w:t>.</w:t>
      </w:r>
    </w:p>
    <w:p w14:paraId="24B618A9" w14:textId="2019C046" w:rsidR="00853737" w:rsidRPr="00BE0016" w:rsidRDefault="00853737" w:rsidP="000C14FF">
      <w:pPr>
        <w:pStyle w:val="Heading3"/>
      </w:pPr>
      <w:r w:rsidRPr="00BE0016">
        <w:t xml:space="preserve">Energy Efficiency Measures </w:t>
      </w:r>
    </w:p>
    <w:p w14:paraId="2D76C128" w14:textId="16F2048A" w:rsidR="00FA7BED" w:rsidRDefault="00FA7BED" w:rsidP="00362795">
      <w:pPr>
        <w:pStyle w:val="SpaceAfter"/>
        <w:ind w:left="0"/>
        <w:jc w:val="both"/>
      </w:pPr>
      <w:r>
        <w:t xml:space="preserve">Table 1 summarizes the </w:t>
      </w:r>
      <w:r w:rsidR="00C25755">
        <w:t xml:space="preserve">energy efficiency measures (EEMs), </w:t>
      </w:r>
      <w:r>
        <w:t>potential savings</w:t>
      </w:r>
      <w:r w:rsidR="00C25755">
        <w:t>, and estimated payback</w:t>
      </w:r>
      <w:r>
        <w:t xml:space="preserve"> identified by the assessment. Further details for each EEM are contained in the report.</w:t>
      </w:r>
    </w:p>
    <w:p w14:paraId="3FDCE0FD" w14:textId="77B47374" w:rsidR="00F82593" w:rsidRDefault="00F82593" w:rsidP="00362795">
      <w:pPr>
        <w:pStyle w:val="SpaceAfter"/>
        <w:ind w:left="0"/>
        <w:jc w:val="both"/>
      </w:pPr>
      <w:r w:rsidRPr="00EB159B">
        <w:t xml:space="preserve">Based on an estimated energy cost of </w:t>
      </w:r>
      <w:r w:rsidRPr="00EB159B">
        <w:rPr>
          <w:highlight w:val="yellow"/>
        </w:rPr>
        <w:t>$xxxx</w:t>
      </w:r>
      <w:r w:rsidRPr="00EB159B">
        <w:t xml:space="preserve">/kWh, energy cost savings of approximately </w:t>
      </w:r>
      <w:r w:rsidRPr="00EB159B">
        <w:rPr>
          <w:highlight w:val="yellow"/>
        </w:rPr>
        <w:t>$xx,xxx</w:t>
      </w:r>
      <w:r w:rsidRPr="00EB159B">
        <w:t xml:space="preserve">/yr are possible through measures that have an average payback period of </w:t>
      </w:r>
      <w:r w:rsidRPr="00EB159B">
        <w:rPr>
          <w:highlight w:val="yellow"/>
        </w:rPr>
        <w:t>x.x</w:t>
      </w:r>
      <w:r w:rsidRPr="00EB159B">
        <w:t xml:space="preserve"> years and represent approximately </w:t>
      </w:r>
      <w:r w:rsidRPr="00EB159B">
        <w:rPr>
          <w:highlight w:val="yellow"/>
        </w:rPr>
        <w:t>x</w:t>
      </w:r>
      <w:r w:rsidRPr="00EB159B">
        <w:t>% energy savings</w:t>
      </w:r>
      <w:r w:rsidR="00FA7BED">
        <w:t xml:space="preserve"> in overall data center energy use (relative to the </w:t>
      </w:r>
      <w:r w:rsidR="0081539B" w:rsidRPr="0081539B">
        <w:rPr>
          <w:highlight w:val="yellow"/>
        </w:rPr>
        <w:t>Month/Year</w:t>
      </w:r>
      <w:r w:rsidR="00FA7BED">
        <w:t xml:space="preserve"> baseline).</w:t>
      </w:r>
    </w:p>
    <w:p w14:paraId="17B0325D" w14:textId="77777777" w:rsidR="00C25755" w:rsidRPr="00EB159B" w:rsidRDefault="00C25755" w:rsidP="00362795">
      <w:pPr>
        <w:pStyle w:val="SpaceAfter"/>
        <w:ind w:left="0"/>
        <w:jc w:val="both"/>
      </w:pP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800"/>
        <w:gridCol w:w="1837"/>
        <w:gridCol w:w="2065"/>
      </w:tblGrid>
      <w:tr w:rsidR="00C25755" w:rsidRPr="00D923D8" w14:paraId="3E096A14" w14:textId="77777777" w:rsidTr="00C25755">
        <w:tc>
          <w:tcPr>
            <w:tcW w:w="1440" w:type="dxa"/>
          </w:tcPr>
          <w:p w14:paraId="5D88D534" w14:textId="77777777" w:rsidR="00C25755" w:rsidRPr="005800FB" w:rsidRDefault="00C25755" w:rsidP="00F82593">
            <w:pPr>
              <w:pStyle w:val="FigureTable"/>
              <w:ind w:left="0"/>
              <w:rPr>
                <w:b/>
                <w:sz w:val="22"/>
                <w:szCs w:val="22"/>
              </w:rPr>
            </w:pPr>
            <w:r w:rsidRPr="005800FB">
              <w:rPr>
                <w:b/>
                <w:sz w:val="22"/>
                <w:szCs w:val="22"/>
              </w:rPr>
              <w:t>Grouped Efficiency Measures (EEMs)</w:t>
            </w:r>
          </w:p>
        </w:tc>
        <w:tc>
          <w:tcPr>
            <w:tcW w:w="1620" w:type="dxa"/>
          </w:tcPr>
          <w:p w14:paraId="6568074D" w14:textId="77777777" w:rsidR="00C25755" w:rsidRPr="005800FB" w:rsidRDefault="00C25755" w:rsidP="00F82593">
            <w:pPr>
              <w:pStyle w:val="FigureTable"/>
              <w:ind w:left="0"/>
              <w:rPr>
                <w:b/>
                <w:sz w:val="22"/>
                <w:szCs w:val="22"/>
              </w:rPr>
            </w:pPr>
            <w:r w:rsidRPr="005800FB">
              <w:rPr>
                <w:b/>
                <w:sz w:val="22"/>
                <w:szCs w:val="22"/>
              </w:rPr>
              <w:t>Estimated Installed Cost</w:t>
            </w:r>
          </w:p>
          <w:p w14:paraId="62ED05E3" w14:textId="77777777" w:rsidR="00C25755" w:rsidRPr="005800FB" w:rsidRDefault="00C25755" w:rsidP="00F82593">
            <w:pPr>
              <w:pStyle w:val="FigureTable"/>
              <w:ind w:left="0"/>
              <w:rPr>
                <w:b/>
                <w:sz w:val="22"/>
                <w:szCs w:val="22"/>
              </w:rPr>
            </w:pPr>
            <w:r w:rsidRPr="005800FB">
              <w:rPr>
                <w:b/>
                <w:sz w:val="22"/>
                <w:szCs w:val="22"/>
              </w:rPr>
              <w:t>($)</w:t>
            </w:r>
          </w:p>
        </w:tc>
        <w:tc>
          <w:tcPr>
            <w:tcW w:w="1800" w:type="dxa"/>
          </w:tcPr>
          <w:p w14:paraId="3A07CB67" w14:textId="77777777" w:rsidR="00C25755" w:rsidRPr="005800FB" w:rsidRDefault="00C25755" w:rsidP="00F82593">
            <w:pPr>
              <w:pStyle w:val="FigureTable"/>
              <w:ind w:left="0"/>
              <w:rPr>
                <w:b/>
                <w:sz w:val="22"/>
                <w:szCs w:val="22"/>
              </w:rPr>
            </w:pPr>
            <w:r w:rsidRPr="005800FB">
              <w:rPr>
                <w:b/>
                <w:sz w:val="22"/>
                <w:szCs w:val="22"/>
              </w:rPr>
              <w:t>Estimated Yearly Energy Savings</w:t>
            </w:r>
          </w:p>
          <w:p w14:paraId="58130482" w14:textId="77777777" w:rsidR="00C25755" w:rsidRPr="005800FB" w:rsidRDefault="00C25755" w:rsidP="00F82593">
            <w:pPr>
              <w:pStyle w:val="FigureTable"/>
              <w:ind w:left="0"/>
              <w:rPr>
                <w:b/>
                <w:sz w:val="22"/>
                <w:szCs w:val="22"/>
              </w:rPr>
            </w:pPr>
            <w:r w:rsidRPr="005800FB">
              <w:rPr>
                <w:b/>
                <w:sz w:val="22"/>
                <w:szCs w:val="22"/>
              </w:rPr>
              <w:t>(kWh)</w:t>
            </w:r>
          </w:p>
        </w:tc>
        <w:tc>
          <w:tcPr>
            <w:tcW w:w="1837" w:type="dxa"/>
          </w:tcPr>
          <w:p w14:paraId="4D63BEC8" w14:textId="77777777" w:rsidR="00853737" w:rsidRPr="005800FB" w:rsidRDefault="00C25755" w:rsidP="00853737">
            <w:pPr>
              <w:pStyle w:val="FigureTable"/>
              <w:ind w:left="0"/>
              <w:rPr>
                <w:b/>
                <w:sz w:val="22"/>
                <w:szCs w:val="22"/>
              </w:rPr>
            </w:pPr>
            <w:r w:rsidRPr="005800FB">
              <w:rPr>
                <w:b/>
                <w:sz w:val="22"/>
                <w:szCs w:val="22"/>
              </w:rPr>
              <w:t xml:space="preserve">Estimated Yearly Dollar Savings </w:t>
            </w:r>
          </w:p>
          <w:p w14:paraId="6CA0E41D" w14:textId="069AD547" w:rsidR="00C25755" w:rsidRPr="005800FB" w:rsidRDefault="00C25755" w:rsidP="00853737">
            <w:pPr>
              <w:pStyle w:val="FigureTable"/>
              <w:ind w:left="0"/>
              <w:rPr>
                <w:b/>
                <w:sz w:val="22"/>
                <w:szCs w:val="22"/>
              </w:rPr>
            </w:pPr>
            <w:r w:rsidRPr="005800FB">
              <w:rPr>
                <w:b/>
                <w:sz w:val="22"/>
                <w:szCs w:val="22"/>
              </w:rPr>
              <w:t>($)</w:t>
            </w:r>
          </w:p>
        </w:tc>
        <w:tc>
          <w:tcPr>
            <w:tcW w:w="2065" w:type="dxa"/>
          </w:tcPr>
          <w:p w14:paraId="735C1428" w14:textId="77777777" w:rsidR="00C25755" w:rsidRPr="005800FB" w:rsidRDefault="00C25755" w:rsidP="00F82593">
            <w:pPr>
              <w:pStyle w:val="FigureTable"/>
              <w:ind w:left="0"/>
              <w:rPr>
                <w:b/>
                <w:sz w:val="22"/>
                <w:szCs w:val="22"/>
              </w:rPr>
            </w:pPr>
            <w:r w:rsidRPr="005800FB">
              <w:rPr>
                <w:b/>
                <w:sz w:val="22"/>
                <w:szCs w:val="22"/>
              </w:rPr>
              <w:t>Estimated Simple Payback</w:t>
            </w:r>
          </w:p>
          <w:p w14:paraId="2E7E4AD4" w14:textId="77777777" w:rsidR="00C25755" w:rsidRPr="005800FB" w:rsidRDefault="00C25755" w:rsidP="00F82593">
            <w:pPr>
              <w:pStyle w:val="FigureTable"/>
              <w:ind w:left="0"/>
              <w:rPr>
                <w:b/>
                <w:sz w:val="22"/>
                <w:szCs w:val="22"/>
              </w:rPr>
            </w:pPr>
            <w:r w:rsidRPr="005800FB">
              <w:rPr>
                <w:b/>
                <w:sz w:val="22"/>
                <w:szCs w:val="22"/>
              </w:rPr>
              <w:t>(Years)</w:t>
            </w:r>
          </w:p>
        </w:tc>
      </w:tr>
      <w:tr w:rsidR="00C25755" w:rsidRPr="00EB159B" w14:paraId="40955EAD" w14:textId="77777777" w:rsidTr="00C25755">
        <w:tc>
          <w:tcPr>
            <w:tcW w:w="1440" w:type="dxa"/>
          </w:tcPr>
          <w:p w14:paraId="0A374A8D" w14:textId="77777777" w:rsidR="00C25755" w:rsidRPr="00BE0016" w:rsidRDefault="00C25755" w:rsidP="00F82593">
            <w:pPr>
              <w:pStyle w:val="FigureTable"/>
              <w:ind w:left="0"/>
              <w:rPr>
                <w:sz w:val="22"/>
                <w:szCs w:val="22"/>
              </w:rPr>
            </w:pPr>
          </w:p>
        </w:tc>
        <w:tc>
          <w:tcPr>
            <w:tcW w:w="1620" w:type="dxa"/>
          </w:tcPr>
          <w:p w14:paraId="0633A911" w14:textId="5B031CD6" w:rsidR="00C25755" w:rsidRPr="00BE0016" w:rsidRDefault="00C25755" w:rsidP="00F82593">
            <w:pPr>
              <w:pStyle w:val="FigureTable"/>
              <w:ind w:left="0"/>
              <w:rPr>
                <w:sz w:val="22"/>
                <w:szCs w:val="22"/>
              </w:rPr>
            </w:pPr>
          </w:p>
        </w:tc>
        <w:tc>
          <w:tcPr>
            <w:tcW w:w="1800" w:type="dxa"/>
          </w:tcPr>
          <w:p w14:paraId="06E99A3E" w14:textId="77777777" w:rsidR="00C25755" w:rsidRPr="00BE0016" w:rsidRDefault="00C25755" w:rsidP="00F82593">
            <w:pPr>
              <w:pStyle w:val="FigureTable"/>
              <w:ind w:left="0"/>
              <w:rPr>
                <w:sz w:val="22"/>
                <w:szCs w:val="22"/>
              </w:rPr>
            </w:pPr>
          </w:p>
        </w:tc>
        <w:tc>
          <w:tcPr>
            <w:tcW w:w="1837" w:type="dxa"/>
          </w:tcPr>
          <w:p w14:paraId="4ACEDE51" w14:textId="21761EDA" w:rsidR="00C25755" w:rsidRPr="00BE0016" w:rsidRDefault="00C25755" w:rsidP="00F82593">
            <w:pPr>
              <w:pStyle w:val="FigureTable"/>
              <w:ind w:left="0"/>
              <w:rPr>
                <w:sz w:val="22"/>
                <w:szCs w:val="22"/>
              </w:rPr>
            </w:pPr>
          </w:p>
        </w:tc>
        <w:tc>
          <w:tcPr>
            <w:tcW w:w="2065" w:type="dxa"/>
          </w:tcPr>
          <w:p w14:paraId="7D33A030" w14:textId="77777777" w:rsidR="00C25755" w:rsidRPr="00BE0016" w:rsidRDefault="00C25755" w:rsidP="00F82593">
            <w:pPr>
              <w:pStyle w:val="FigureTable"/>
              <w:ind w:left="0"/>
              <w:rPr>
                <w:sz w:val="22"/>
                <w:szCs w:val="22"/>
              </w:rPr>
            </w:pPr>
          </w:p>
        </w:tc>
      </w:tr>
      <w:tr w:rsidR="00C25755" w:rsidRPr="00EB159B" w14:paraId="57721F0B" w14:textId="77777777" w:rsidTr="00C25755">
        <w:tc>
          <w:tcPr>
            <w:tcW w:w="1440" w:type="dxa"/>
          </w:tcPr>
          <w:p w14:paraId="3D5DFBD3" w14:textId="77777777" w:rsidR="00C25755" w:rsidRPr="00BE0016" w:rsidRDefault="00C25755" w:rsidP="00F82593">
            <w:pPr>
              <w:pStyle w:val="FigureTable"/>
              <w:ind w:left="0"/>
              <w:rPr>
                <w:sz w:val="22"/>
                <w:szCs w:val="22"/>
              </w:rPr>
            </w:pPr>
          </w:p>
        </w:tc>
        <w:tc>
          <w:tcPr>
            <w:tcW w:w="1620" w:type="dxa"/>
          </w:tcPr>
          <w:p w14:paraId="5992937C" w14:textId="604B761A" w:rsidR="00C25755" w:rsidRPr="00BE0016" w:rsidRDefault="00C25755" w:rsidP="00F82593">
            <w:pPr>
              <w:pStyle w:val="FigureTable"/>
              <w:ind w:left="0"/>
              <w:rPr>
                <w:sz w:val="22"/>
                <w:szCs w:val="22"/>
              </w:rPr>
            </w:pPr>
          </w:p>
        </w:tc>
        <w:tc>
          <w:tcPr>
            <w:tcW w:w="1800" w:type="dxa"/>
          </w:tcPr>
          <w:p w14:paraId="6730E0F9" w14:textId="77777777" w:rsidR="00C25755" w:rsidRPr="00BE0016" w:rsidRDefault="00C25755" w:rsidP="00F82593">
            <w:pPr>
              <w:pStyle w:val="FigureTable"/>
              <w:ind w:left="0"/>
              <w:rPr>
                <w:sz w:val="22"/>
                <w:szCs w:val="22"/>
              </w:rPr>
            </w:pPr>
          </w:p>
        </w:tc>
        <w:tc>
          <w:tcPr>
            <w:tcW w:w="1837" w:type="dxa"/>
          </w:tcPr>
          <w:p w14:paraId="5933A3FF" w14:textId="0FE50708" w:rsidR="00C25755" w:rsidRPr="00BE0016" w:rsidRDefault="00C25755" w:rsidP="00F82593">
            <w:pPr>
              <w:pStyle w:val="FigureTable"/>
              <w:ind w:left="0"/>
              <w:rPr>
                <w:sz w:val="22"/>
                <w:szCs w:val="22"/>
              </w:rPr>
            </w:pPr>
          </w:p>
        </w:tc>
        <w:tc>
          <w:tcPr>
            <w:tcW w:w="2065" w:type="dxa"/>
          </w:tcPr>
          <w:p w14:paraId="2D274AED" w14:textId="77777777" w:rsidR="00C25755" w:rsidRPr="00BE0016" w:rsidRDefault="00C25755" w:rsidP="00F82593">
            <w:pPr>
              <w:pStyle w:val="FigureTable"/>
              <w:ind w:left="0"/>
              <w:rPr>
                <w:sz w:val="22"/>
                <w:szCs w:val="22"/>
              </w:rPr>
            </w:pPr>
          </w:p>
        </w:tc>
      </w:tr>
      <w:tr w:rsidR="00C25755" w:rsidRPr="00EB159B" w14:paraId="7108C2E0" w14:textId="77777777" w:rsidTr="00C25755">
        <w:tc>
          <w:tcPr>
            <w:tcW w:w="1440" w:type="dxa"/>
          </w:tcPr>
          <w:p w14:paraId="501DC4A2" w14:textId="2FA1A883" w:rsidR="00C25755" w:rsidRPr="005800FB" w:rsidRDefault="006A5134" w:rsidP="00F82593">
            <w:pPr>
              <w:pStyle w:val="FigureTable"/>
              <w:ind w:left="0"/>
              <w:rPr>
                <w:b/>
                <w:sz w:val="22"/>
                <w:szCs w:val="22"/>
              </w:rPr>
            </w:pPr>
            <w:r>
              <w:rPr>
                <w:b/>
                <w:sz w:val="22"/>
                <w:szCs w:val="22"/>
              </w:rPr>
              <w:t>Total</w:t>
            </w:r>
          </w:p>
        </w:tc>
        <w:tc>
          <w:tcPr>
            <w:tcW w:w="1620" w:type="dxa"/>
          </w:tcPr>
          <w:p w14:paraId="210D5A50" w14:textId="77777777" w:rsidR="00C25755" w:rsidRPr="005800FB" w:rsidRDefault="00C25755" w:rsidP="00F82593">
            <w:pPr>
              <w:pStyle w:val="FigureTable"/>
              <w:ind w:left="0"/>
              <w:rPr>
                <w:b/>
                <w:sz w:val="22"/>
                <w:szCs w:val="22"/>
              </w:rPr>
            </w:pPr>
            <w:r w:rsidRPr="005800FB">
              <w:rPr>
                <w:b/>
                <w:sz w:val="22"/>
                <w:szCs w:val="22"/>
              </w:rPr>
              <w:t>$</w:t>
            </w:r>
          </w:p>
        </w:tc>
        <w:tc>
          <w:tcPr>
            <w:tcW w:w="1800" w:type="dxa"/>
          </w:tcPr>
          <w:p w14:paraId="184E7247" w14:textId="49FEA620" w:rsidR="00C25755" w:rsidRPr="005800FB" w:rsidRDefault="00C25755" w:rsidP="00F82593">
            <w:pPr>
              <w:pStyle w:val="FigureTable"/>
              <w:ind w:left="0"/>
              <w:rPr>
                <w:b/>
                <w:sz w:val="22"/>
                <w:szCs w:val="22"/>
              </w:rPr>
            </w:pPr>
          </w:p>
        </w:tc>
        <w:tc>
          <w:tcPr>
            <w:tcW w:w="1837" w:type="dxa"/>
          </w:tcPr>
          <w:p w14:paraId="1482BEA6" w14:textId="77777777" w:rsidR="00C25755" w:rsidRPr="005800FB" w:rsidRDefault="00C25755" w:rsidP="00F82593">
            <w:pPr>
              <w:pStyle w:val="FigureTable"/>
              <w:ind w:left="0"/>
              <w:rPr>
                <w:b/>
                <w:sz w:val="22"/>
                <w:szCs w:val="22"/>
                <w:highlight w:val="yellow"/>
              </w:rPr>
            </w:pPr>
            <w:r w:rsidRPr="005800FB">
              <w:rPr>
                <w:b/>
                <w:sz w:val="22"/>
                <w:szCs w:val="22"/>
              </w:rPr>
              <w:t>$</w:t>
            </w:r>
          </w:p>
        </w:tc>
        <w:tc>
          <w:tcPr>
            <w:tcW w:w="2065" w:type="dxa"/>
          </w:tcPr>
          <w:p w14:paraId="76D8AA43" w14:textId="5188EFA1" w:rsidR="00C25755" w:rsidRPr="005800FB" w:rsidRDefault="00BE0016" w:rsidP="00F82593">
            <w:pPr>
              <w:pStyle w:val="FigureTable"/>
              <w:ind w:left="0"/>
              <w:rPr>
                <w:b/>
                <w:sz w:val="22"/>
                <w:szCs w:val="22"/>
              </w:rPr>
            </w:pPr>
            <w:r w:rsidRPr="005800FB">
              <w:rPr>
                <w:b/>
                <w:sz w:val="22"/>
                <w:szCs w:val="22"/>
                <w:highlight w:val="yellow"/>
              </w:rPr>
              <w:t>W</w:t>
            </w:r>
            <w:r w:rsidR="00C25755" w:rsidRPr="005800FB">
              <w:rPr>
                <w:b/>
                <w:sz w:val="22"/>
                <w:szCs w:val="22"/>
                <w:highlight w:val="yellow"/>
              </w:rPr>
              <w:t>eighted average</w:t>
            </w:r>
          </w:p>
        </w:tc>
      </w:tr>
    </w:tbl>
    <w:p w14:paraId="55FF28EE" w14:textId="77777777" w:rsidR="00F82593" w:rsidRPr="00BE0016" w:rsidRDefault="00F82593" w:rsidP="00BE0016">
      <w:pPr>
        <w:pStyle w:val="TableCaption"/>
        <w:ind w:left="0"/>
        <w:rPr>
          <w:rFonts w:ascii="Times New Roman" w:hAnsi="Times New Roman" w:cs="Times New Roman"/>
          <w:sz w:val="22"/>
          <w:szCs w:val="22"/>
        </w:rPr>
      </w:pPr>
      <w:r w:rsidRPr="00BE0016">
        <w:rPr>
          <w:rFonts w:ascii="Times New Roman" w:hAnsi="Times New Roman" w:cs="Times New Roman"/>
          <w:sz w:val="22"/>
          <w:szCs w:val="22"/>
        </w:rPr>
        <w:t xml:space="preserve">Table </w:t>
      </w:r>
      <w:r w:rsidRPr="00BE0016">
        <w:rPr>
          <w:rFonts w:ascii="Times New Roman" w:hAnsi="Times New Roman" w:cs="Times New Roman"/>
          <w:sz w:val="22"/>
          <w:szCs w:val="22"/>
        </w:rPr>
        <w:fldChar w:fldCharType="begin"/>
      </w:r>
      <w:r w:rsidRPr="00BE0016">
        <w:rPr>
          <w:rFonts w:ascii="Times New Roman" w:hAnsi="Times New Roman" w:cs="Times New Roman"/>
          <w:sz w:val="22"/>
          <w:szCs w:val="22"/>
        </w:rPr>
        <w:instrText xml:space="preserve"> SEQ Table \* MERGEFORMAT </w:instrText>
      </w:r>
      <w:r w:rsidRPr="00BE0016">
        <w:rPr>
          <w:rFonts w:ascii="Times New Roman" w:hAnsi="Times New Roman" w:cs="Times New Roman"/>
          <w:sz w:val="22"/>
          <w:szCs w:val="22"/>
        </w:rPr>
        <w:fldChar w:fldCharType="separate"/>
      </w:r>
      <w:r w:rsidRPr="00BE0016">
        <w:rPr>
          <w:rFonts w:ascii="Times New Roman" w:hAnsi="Times New Roman" w:cs="Times New Roman"/>
          <w:noProof/>
          <w:sz w:val="22"/>
          <w:szCs w:val="22"/>
        </w:rPr>
        <w:t>1</w:t>
      </w:r>
      <w:r w:rsidRPr="00BE0016">
        <w:rPr>
          <w:rFonts w:ascii="Times New Roman" w:hAnsi="Times New Roman" w:cs="Times New Roman"/>
          <w:sz w:val="22"/>
          <w:szCs w:val="22"/>
        </w:rPr>
        <w:fldChar w:fldCharType="end"/>
      </w:r>
      <w:r w:rsidRPr="00BE0016">
        <w:rPr>
          <w:rFonts w:ascii="Times New Roman" w:hAnsi="Times New Roman" w:cs="Times New Roman"/>
          <w:sz w:val="22"/>
          <w:szCs w:val="22"/>
        </w:rPr>
        <w:t xml:space="preserve"> </w:t>
      </w:r>
      <w:r w:rsidR="00362795" w:rsidRPr="00BE0016">
        <w:rPr>
          <w:rFonts w:ascii="Times New Roman" w:hAnsi="Times New Roman" w:cs="Times New Roman"/>
          <w:sz w:val="22"/>
          <w:szCs w:val="22"/>
        </w:rPr>
        <w:t>–</w:t>
      </w:r>
      <w:r w:rsidRPr="00BE0016">
        <w:rPr>
          <w:rFonts w:ascii="Times New Roman" w:hAnsi="Times New Roman" w:cs="Times New Roman"/>
          <w:sz w:val="22"/>
          <w:szCs w:val="22"/>
        </w:rPr>
        <w:t xml:space="preserve"> S</w:t>
      </w:r>
      <w:r w:rsidR="00362795" w:rsidRPr="00BE0016">
        <w:rPr>
          <w:rFonts w:ascii="Times New Roman" w:hAnsi="Times New Roman" w:cs="Times New Roman"/>
          <w:sz w:val="22"/>
          <w:szCs w:val="22"/>
        </w:rPr>
        <w:t>aving and Payback Summary</w:t>
      </w:r>
    </w:p>
    <w:p w14:paraId="28DE3B70" w14:textId="39670474" w:rsidR="00C25755" w:rsidRDefault="00FA7BED" w:rsidP="00BE0016">
      <w:pPr>
        <w:pStyle w:val="SpaceAfter"/>
        <w:ind w:left="0"/>
        <w:jc w:val="both"/>
      </w:pPr>
      <w:r w:rsidRPr="00C25755">
        <w:rPr>
          <w:highlight w:val="yellow"/>
        </w:rPr>
        <w:t>Summarize additional high-</w:t>
      </w:r>
      <w:r w:rsidR="00F82593" w:rsidRPr="00C25755">
        <w:rPr>
          <w:highlight w:val="yellow"/>
        </w:rPr>
        <w:t>level finding</w:t>
      </w:r>
      <w:r w:rsidRPr="00C25755">
        <w:rPr>
          <w:highlight w:val="yellow"/>
        </w:rPr>
        <w:t xml:space="preserve">s and </w:t>
      </w:r>
      <w:r w:rsidR="00571635">
        <w:rPr>
          <w:highlight w:val="yellow"/>
        </w:rPr>
        <w:t>relevant</w:t>
      </w:r>
      <w:r w:rsidRPr="00C25755">
        <w:rPr>
          <w:highlight w:val="yellow"/>
        </w:rPr>
        <w:t xml:space="preserve"> updates since the</w:t>
      </w:r>
      <w:r w:rsidR="00BE0016">
        <w:rPr>
          <w:highlight w:val="yellow"/>
        </w:rPr>
        <w:t xml:space="preserve"> assessment began</w:t>
      </w:r>
    </w:p>
    <w:p w14:paraId="7EC05949" w14:textId="77777777" w:rsidR="00C25755" w:rsidRDefault="00C25755">
      <w:r>
        <w:br w:type="page"/>
      </w:r>
    </w:p>
    <w:p w14:paraId="342E504A" w14:textId="77777777" w:rsidR="00C25755" w:rsidRDefault="00C25755" w:rsidP="000C14FF">
      <w:pPr>
        <w:pStyle w:val="Heading1"/>
      </w:pPr>
      <w:bookmarkStart w:id="4" w:name="_Toc328915517"/>
      <w:r w:rsidRPr="00BE0016">
        <w:t>2. Facility Overview</w:t>
      </w:r>
      <w:bookmarkEnd w:id="4"/>
    </w:p>
    <w:p w14:paraId="0F952099" w14:textId="15AAC91A" w:rsidR="00BE0016" w:rsidRDefault="005E664E" w:rsidP="00BE0016">
      <w:pPr>
        <w:rPr>
          <w:sz w:val="22"/>
          <w:szCs w:val="22"/>
        </w:rPr>
      </w:pPr>
      <w:r>
        <w:rPr>
          <w:sz w:val="22"/>
          <w:szCs w:val="22"/>
          <w:highlight w:val="yellow"/>
        </w:rPr>
        <w:t>Provide a h</w:t>
      </w:r>
      <w:r w:rsidR="00BE0016" w:rsidRPr="00BE0016">
        <w:rPr>
          <w:sz w:val="22"/>
          <w:szCs w:val="22"/>
          <w:highlight w:val="yellow"/>
        </w:rPr>
        <w:t>igh-level description of facility</w:t>
      </w:r>
      <w:r w:rsidR="00BE0016">
        <w:rPr>
          <w:sz w:val="22"/>
          <w:szCs w:val="22"/>
          <w:highlight w:val="yellow"/>
        </w:rPr>
        <w:t>:</w:t>
      </w:r>
      <w:r w:rsidR="00BE0016" w:rsidRPr="00BE0016">
        <w:rPr>
          <w:sz w:val="22"/>
          <w:szCs w:val="22"/>
          <w:highlight w:val="yellow"/>
        </w:rPr>
        <w:t xml:space="preserve"> </w:t>
      </w:r>
      <w:r w:rsidR="00BE0016">
        <w:rPr>
          <w:sz w:val="22"/>
          <w:szCs w:val="22"/>
          <w:highlight w:val="yellow"/>
        </w:rPr>
        <w:t>embedded vs. stand</w:t>
      </w:r>
      <w:r w:rsidR="00BE0016" w:rsidRPr="00BE0016">
        <w:rPr>
          <w:sz w:val="22"/>
          <w:szCs w:val="22"/>
          <w:highlight w:val="yellow"/>
        </w:rPr>
        <w:t>alone</w:t>
      </w:r>
      <w:r w:rsidR="00BE0016">
        <w:rPr>
          <w:sz w:val="22"/>
          <w:szCs w:val="22"/>
          <w:highlight w:val="yellow"/>
        </w:rPr>
        <w:t xml:space="preserve"> data center</w:t>
      </w:r>
      <w:r w:rsidR="00BE0016" w:rsidRPr="00BE0016">
        <w:rPr>
          <w:sz w:val="22"/>
          <w:szCs w:val="22"/>
          <w:highlight w:val="yellow"/>
        </w:rPr>
        <w:t>, date built, square footage,</w:t>
      </w:r>
      <w:r w:rsidR="00BE0016">
        <w:rPr>
          <w:sz w:val="22"/>
          <w:szCs w:val="22"/>
          <w:highlight w:val="yellow"/>
        </w:rPr>
        <w:t xml:space="preserve"> type of equipme</w:t>
      </w:r>
      <w:r w:rsidR="00C326DA">
        <w:rPr>
          <w:sz w:val="22"/>
          <w:szCs w:val="22"/>
          <w:highlight w:val="yellow"/>
        </w:rPr>
        <w:t>nt present</w:t>
      </w:r>
      <w:r w:rsidR="00BE0016">
        <w:rPr>
          <w:sz w:val="22"/>
          <w:szCs w:val="22"/>
          <w:highlight w:val="yellow"/>
        </w:rPr>
        <w:t>, general layout, and any other noteworthy characteristics</w:t>
      </w:r>
      <w:r w:rsidR="00BE0016" w:rsidRPr="00BE0016">
        <w:rPr>
          <w:sz w:val="22"/>
          <w:szCs w:val="22"/>
          <w:highlight w:val="yellow"/>
        </w:rPr>
        <w:t>. Include data center drawing or image</w:t>
      </w:r>
      <w:r w:rsidR="00C326DA">
        <w:rPr>
          <w:sz w:val="22"/>
          <w:szCs w:val="22"/>
          <w:highlight w:val="yellow"/>
        </w:rPr>
        <w:t xml:space="preserve"> for Figure 1</w:t>
      </w:r>
      <w:r w:rsidR="00BE0016" w:rsidRPr="00BE0016">
        <w:rPr>
          <w:sz w:val="22"/>
          <w:szCs w:val="22"/>
          <w:highlight w:val="yellow"/>
        </w:rPr>
        <w:t>.</w:t>
      </w:r>
      <w:r w:rsidR="00BE0016">
        <w:rPr>
          <w:sz w:val="22"/>
          <w:szCs w:val="22"/>
        </w:rPr>
        <w:t xml:space="preserve"> </w:t>
      </w:r>
      <w:r w:rsidR="00BE0016" w:rsidRPr="00BE0016">
        <w:rPr>
          <w:sz w:val="22"/>
          <w:szCs w:val="22"/>
        </w:rPr>
        <w:t xml:space="preserve"> </w:t>
      </w:r>
    </w:p>
    <w:p w14:paraId="344A4A5D" w14:textId="77777777" w:rsidR="00BE0016" w:rsidRDefault="00BE0016" w:rsidP="00BE0016">
      <w:pPr>
        <w:rPr>
          <w:sz w:val="22"/>
          <w:szCs w:val="22"/>
        </w:rPr>
      </w:pPr>
    </w:p>
    <w:p w14:paraId="211392D3" w14:textId="5004E03A" w:rsidR="00BE0016" w:rsidRPr="00BE0016" w:rsidRDefault="00BE0016" w:rsidP="00BE0016">
      <w:pPr>
        <w:rPr>
          <w:b/>
          <w:sz w:val="22"/>
          <w:szCs w:val="22"/>
        </w:rPr>
      </w:pPr>
      <w:r w:rsidRPr="00BE0016">
        <w:rPr>
          <w:b/>
          <w:sz w:val="22"/>
          <w:szCs w:val="22"/>
        </w:rPr>
        <w:t xml:space="preserve">Figure </w:t>
      </w:r>
      <w:r w:rsidRPr="00C326DA">
        <w:rPr>
          <w:b/>
          <w:sz w:val="22"/>
          <w:szCs w:val="22"/>
          <w:highlight w:val="yellow"/>
        </w:rPr>
        <w:t>1</w:t>
      </w:r>
      <w:r w:rsidRPr="00BE0016">
        <w:rPr>
          <w:b/>
          <w:sz w:val="22"/>
          <w:szCs w:val="22"/>
        </w:rPr>
        <w:t xml:space="preserve">– </w:t>
      </w:r>
      <w:r w:rsidRPr="00BE0016">
        <w:rPr>
          <w:b/>
          <w:sz w:val="22"/>
          <w:szCs w:val="22"/>
          <w:highlight w:val="yellow"/>
        </w:rPr>
        <w:t xml:space="preserve">Data Center drawing </w:t>
      </w:r>
      <w:r w:rsidRPr="00560B35">
        <w:rPr>
          <w:b/>
          <w:sz w:val="22"/>
          <w:szCs w:val="22"/>
          <w:highlight w:val="yellow"/>
        </w:rPr>
        <w:t>or image</w:t>
      </w:r>
      <w:r w:rsidR="00560B35" w:rsidRPr="00560B35">
        <w:rPr>
          <w:b/>
          <w:sz w:val="22"/>
          <w:szCs w:val="22"/>
          <w:highlight w:val="yellow"/>
        </w:rPr>
        <w:t xml:space="preserve"> pointing out relevant factors</w:t>
      </w:r>
    </w:p>
    <w:p w14:paraId="3CFBC962" w14:textId="423C3CE8" w:rsidR="00BE0016" w:rsidRDefault="00BE0016">
      <w:r>
        <w:br w:type="page"/>
      </w:r>
    </w:p>
    <w:p w14:paraId="34D500D9" w14:textId="6A8E542E" w:rsidR="00DB7FBC" w:rsidRDefault="00DB7FBC" w:rsidP="000C14FF">
      <w:pPr>
        <w:pStyle w:val="Heading1"/>
      </w:pPr>
      <w:bookmarkStart w:id="5" w:name="_Toc328915518"/>
      <w:r w:rsidRPr="00DB7FBC">
        <w:t>3. Facility Energy Use</w:t>
      </w:r>
      <w:bookmarkEnd w:id="5"/>
    </w:p>
    <w:p w14:paraId="62E34BCC" w14:textId="263E86CE" w:rsidR="00DB7FBC" w:rsidRPr="00DB7FBC" w:rsidRDefault="00DB7FBC" w:rsidP="00DB7FBC">
      <w:pPr>
        <w:rPr>
          <w:sz w:val="22"/>
          <w:szCs w:val="22"/>
        </w:rPr>
      </w:pPr>
      <w:r w:rsidRPr="00DB7FBC">
        <w:rPr>
          <w:sz w:val="22"/>
          <w:szCs w:val="22"/>
        </w:rPr>
        <w:t xml:space="preserve">The total electrical demand was on average approximately </w:t>
      </w:r>
      <w:r w:rsidR="00347928" w:rsidRPr="00347928">
        <w:rPr>
          <w:sz w:val="22"/>
          <w:szCs w:val="22"/>
          <w:highlight w:val="yellow"/>
        </w:rPr>
        <w:t>xxx</w:t>
      </w:r>
      <w:r w:rsidRPr="00DB7FBC">
        <w:rPr>
          <w:sz w:val="22"/>
          <w:szCs w:val="22"/>
        </w:rPr>
        <w:t xml:space="preserve"> kW with a yearly energy use of approximately </w:t>
      </w:r>
      <w:r w:rsidR="00347928">
        <w:rPr>
          <w:sz w:val="22"/>
          <w:szCs w:val="22"/>
          <w:highlight w:val="yellow"/>
        </w:rPr>
        <w:t>x</w:t>
      </w:r>
      <w:r w:rsidRPr="00DB7FBC">
        <w:rPr>
          <w:sz w:val="22"/>
          <w:szCs w:val="22"/>
          <w:highlight w:val="yellow"/>
        </w:rPr>
        <w:t>.</w:t>
      </w:r>
      <w:r w:rsidR="00347928">
        <w:rPr>
          <w:sz w:val="22"/>
          <w:szCs w:val="22"/>
          <w:highlight w:val="yellow"/>
        </w:rPr>
        <w:t>x</w:t>
      </w:r>
      <w:r w:rsidRPr="00DB7FBC">
        <w:rPr>
          <w:sz w:val="22"/>
          <w:szCs w:val="22"/>
        </w:rPr>
        <w:t xml:space="preserve"> GWh/yr.  Approximately </w:t>
      </w:r>
      <w:r w:rsidR="00347928">
        <w:rPr>
          <w:sz w:val="22"/>
          <w:szCs w:val="22"/>
          <w:highlight w:val="yellow"/>
        </w:rPr>
        <w:t>xx</w:t>
      </w:r>
      <w:r w:rsidRPr="00DB7FBC">
        <w:rPr>
          <w:sz w:val="22"/>
          <w:szCs w:val="22"/>
        </w:rPr>
        <w:t xml:space="preserve">% of </w:t>
      </w:r>
      <w:r>
        <w:rPr>
          <w:sz w:val="22"/>
          <w:szCs w:val="22"/>
        </w:rPr>
        <w:t>this</w:t>
      </w:r>
      <w:r w:rsidRPr="00DB7FBC">
        <w:rPr>
          <w:sz w:val="22"/>
          <w:szCs w:val="22"/>
        </w:rPr>
        <w:t xml:space="preserve"> energy use </w:t>
      </w:r>
      <w:r>
        <w:rPr>
          <w:sz w:val="22"/>
          <w:szCs w:val="22"/>
        </w:rPr>
        <w:t>was</w:t>
      </w:r>
      <w:r w:rsidRPr="00DB7FBC">
        <w:rPr>
          <w:sz w:val="22"/>
          <w:szCs w:val="22"/>
        </w:rPr>
        <w:t xml:space="preserve"> related to the </w:t>
      </w:r>
      <w:r>
        <w:rPr>
          <w:sz w:val="22"/>
          <w:szCs w:val="22"/>
        </w:rPr>
        <w:t>IT equipment</w:t>
      </w:r>
      <w:r w:rsidRPr="00DB7FBC">
        <w:rPr>
          <w:sz w:val="22"/>
          <w:szCs w:val="22"/>
        </w:rPr>
        <w:t>.</w:t>
      </w:r>
      <w:r>
        <w:rPr>
          <w:sz w:val="22"/>
          <w:szCs w:val="22"/>
        </w:rPr>
        <w:t xml:space="preserve"> </w:t>
      </w:r>
      <w:r w:rsidRPr="00DB7FBC">
        <w:rPr>
          <w:sz w:val="22"/>
          <w:szCs w:val="22"/>
        </w:rPr>
        <w:t xml:space="preserve">The data center was </w:t>
      </w:r>
      <w:r w:rsidRPr="00DB7FBC">
        <w:rPr>
          <w:sz w:val="22"/>
          <w:szCs w:val="22"/>
          <w:highlight w:val="yellow"/>
        </w:rPr>
        <w:t>[not]</w:t>
      </w:r>
      <w:r w:rsidRPr="00DB7FBC">
        <w:rPr>
          <w:sz w:val="22"/>
          <w:szCs w:val="22"/>
        </w:rPr>
        <w:t xml:space="preserve"> separately sub</w:t>
      </w:r>
      <w:r>
        <w:rPr>
          <w:sz w:val="22"/>
          <w:szCs w:val="22"/>
        </w:rPr>
        <w:t xml:space="preserve">-metered. The assessment </w:t>
      </w:r>
      <w:r w:rsidRPr="00DB7FBC">
        <w:rPr>
          <w:sz w:val="22"/>
          <w:szCs w:val="22"/>
        </w:rPr>
        <w:t xml:space="preserve">team </w:t>
      </w:r>
      <w:r>
        <w:rPr>
          <w:sz w:val="22"/>
          <w:szCs w:val="22"/>
        </w:rPr>
        <w:t xml:space="preserve">estimated the data center energy use through a combination of </w:t>
      </w:r>
      <w:r w:rsidRPr="00DB7FBC">
        <w:rPr>
          <w:sz w:val="22"/>
          <w:szCs w:val="22"/>
          <w:highlight w:val="yellow"/>
        </w:rPr>
        <w:t>[temporary sub-metering, equipment energy use estimates, spot measurements, and spreadsheet calculations]</w:t>
      </w:r>
      <w:r>
        <w:rPr>
          <w:sz w:val="22"/>
          <w:szCs w:val="22"/>
        </w:rPr>
        <w:t xml:space="preserve">. </w:t>
      </w:r>
    </w:p>
    <w:p w14:paraId="1233E556" w14:textId="77777777" w:rsidR="00DB7FBC" w:rsidRPr="00DB7FBC" w:rsidRDefault="00DB7FBC" w:rsidP="00DB7FBC">
      <w:pPr>
        <w:rPr>
          <w:sz w:val="22"/>
          <w:szCs w:val="22"/>
        </w:rPr>
      </w:pPr>
    </w:p>
    <w:p w14:paraId="1BF96FF8" w14:textId="5D983BAE" w:rsidR="00BE0016" w:rsidRDefault="00DB7FBC" w:rsidP="000C14FF">
      <w:pPr>
        <w:pStyle w:val="Heading3"/>
      </w:pPr>
      <w:r w:rsidRPr="00DB7FBC">
        <w:t>IT Equipment Loads</w:t>
      </w:r>
    </w:p>
    <w:p w14:paraId="4BB5FF1C" w14:textId="2008C531" w:rsidR="00812367" w:rsidRDefault="00812367" w:rsidP="00DB7FBC">
      <w:pPr>
        <w:rPr>
          <w:sz w:val="22"/>
          <w:szCs w:val="22"/>
        </w:rPr>
      </w:pPr>
      <w:r>
        <w:rPr>
          <w:sz w:val="22"/>
          <w:szCs w:val="22"/>
        </w:rPr>
        <w:t>Summarized in Table 2 below is the IT equipment average power use in kW.</w:t>
      </w:r>
    </w:p>
    <w:p w14:paraId="0B81B17C" w14:textId="77777777" w:rsidR="00812367" w:rsidRDefault="00812367" w:rsidP="00DB7FBC">
      <w:pPr>
        <w:rPr>
          <w:sz w:val="22"/>
          <w:szCs w:val="22"/>
        </w:rPr>
      </w:pPr>
    </w:p>
    <w:tbl>
      <w:tblPr>
        <w:tblW w:w="870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279"/>
        <w:gridCol w:w="3082"/>
        <w:gridCol w:w="2728"/>
      </w:tblGrid>
      <w:tr w:rsidR="00DB7FBC" w:rsidRPr="00EB159B" w14:paraId="69168AEC" w14:textId="77777777" w:rsidTr="00DB7FBC">
        <w:trPr>
          <w:trHeight w:val="794"/>
        </w:trPr>
        <w:tc>
          <w:tcPr>
            <w:tcW w:w="1620" w:type="dxa"/>
          </w:tcPr>
          <w:p w14:paraId="5794EE14" w14:textId="77777777" w:rsidR="00DB7FBC" w:rsidRPr="00615F30" w:rsidRDefault="00DB7FBC" w:rsidP="000E32EE">
            <w:pPr>
              <w:pStyle w:val="FigureTable"/>
              <w:ind w:left="0"/>
              <w:rPr>
                <w:b/>
                <w:sz w:val="22"/>
                <w:szCs w:val="22"/>
              </w:rPr>
            </w:pPr>
            <w:r w:rsidRPr="00615F30">
              <w:rPr>
                <w:b/>
                <w:sz w:val="22"/>
                <w:szCs w:val="22"/>
              </w:rPr>
              <w:t>Data Center Areas</w:t>
            </w:r>
          </w:p>
        </w:tc>
        <w:tc>
          <w:tcPr>
            <w:tcW w:w="0" w:type="auto"/>
          </w:tcPr>
          <w:p w14:paraId="077E5F4B" w14:textId="77777777" w:rsidR="00DB7FBC" w:rsidRPr="00615F30" w:rsidRDefault="00DB7FBC" w:rsidP="000E32EE">
            <w:pPr>
              <w:pStyle w:val="FigureTable"/>
              <w:ind w:left="0"/>
              <w:rPr>
                <w:b/>
                <w:sz w:val="22"/>
                <w:szCs w:val="22"/>
              </w:rPr>
            </w:pPr>
            <w:r w:rsidRPr="00615F30">
              <w:rPr>
                <w:b/>
                <w:sz w:val="22"/>
                <w:szCs w:val="22"/>
              </w:rPr>
              <w:t>Area (sf)</w:t>
            </w:r>
          </w:p>
        </w:tc>
        <w:tc>
          <w:tcPr>
            <w:tcW w:w="0" w:type="auto"/>
          </w:tcPr>
          <w:p w14:paraId="161A748D" w14:textId="77777777" w:rsidR="00DB7FBC" w:rsidRPr="00615F30" w:rsidRDefault="00DB7FBC" w:rsidP="000E32EE">
            <w:pPr>
              <w:pStyle w:val="FigureTable"/>
              <w:ind w:left="0"/>
              <w:rPr>
                <w:b/>
                <w:sz w:val="22"/>
                <w:szCs w:val="22"/>
              </w:rPr>
            </w:pPr>
            <w:r w:rsidRPr="00615F30">
              <w:rPr>
                <w:b/>
                <w:sz w:val="22"/>
                <w:szCs w:val="22"/>
              </w:rPr>
              <w:t>IT equipment load (kW)</w:t>
            </w:r>
          </w:p>
        </w:tc>
        <w:tc>
          <w:tcPr>
            <w:tcW w:w="0" w:type="auto"/>
          </w:tcPr>
          <w:p w14:paraId="0FF5F076" w14:textId="77777777" w:rsidR="00DB7FBC" w:rsidRPr="00615F30" w:rsidRDefault="00DB7FBC" w:rsidP="000E32EE">
            <w:pPr>
              <w:pStyle w:val="FigureTable"/>
              <w:ind w:left="0"/>
              <w:rPr>
                <w:b/>
                <w:sz w:val="22"/>
                <w:szCs w:val="22"/>
              </w:rPr>
            </w:pPr>
            <w:r w:rsidRPr="00615F30">
              <w:rPr>
                <w:b/>
                <w:sz w:val="22"/>
                <w:szCs w:val="22"/>
              </w:rPr>
              <w:t>Power Density (W/sf)</w:t>
            </w:r>
          </w:p>
        </w:tc>
      </w:tr>
      <w:tr w:rsidR="00DB7FBC" w:rsidRPr="00EB159B" w14:paraId="0AFE30BD" w14:textId="77777777" w:rsidTr="00DB7FBC">
        <w:trPr>
          <w:trHeight w:val="267"/>
        </w:trPr>
        <w:tc>
          <w:tcPr>
            <w:tcW w:w="1620" w:type="dxa"/>
          </w:tcPr>
          <w:p w14:paraId="20DC7872" w14:textId="77777777" w:rsidR="00DB7FBC" w:rsidRPr="00615F30" w:rsidRDefault="00DB7FBC" w:rsidP="000E32EE">
            <w:pPr>
              <w:pStyle w:val="FigureTable"/>
              <w:ind w:left="0"/>
              <w:rPr>
                <w:sz w:val="22"/>
                <w:szCs w:val="22"/>
              </w:rPr>
            </w:pPr>
          </w:p>
        </w:tc>
        <w:tc>
          <w:tcPr>
            <w:tcW w:w="0" w:type="auto"/>
          </w:tcPr>
          <w:p w14:paraId="450578CB" w14:textId="77777777" w:rsidR="00DB7FBC" w:rsidRPr="00615F30" w:rsidRDefault="00DB7FBC" w:rsidP="000E32EE">
            <w:pPr>
              <w:pStyle w:val="FigureTable"/>
              <w:ind w:left="0"/>
              <w:rPr>
                <w:sz w:val="22"/>
                <w:szCs w:val="22"/>
              </w:rPr>
            </w:pPr>
          </w:p>
        </w:tc>
        <w:tc>
          <w:tcPr>
            <w:tcW w:w="0" w:type="auto"/>
          </w:tcPr>
          <w:p w14:paraId="7DF7D33E" w14:textId="77777777" w:rsidR="00DB7FBC" w:rsidRPr="00615F30" w:rsidRDefault="00DB7FBC" w:rsidP="000E32EE">
            <w:pPr>
              <w:pStyle w:val="FigureTable"/>
              <w:ind w:left="0"/>
              <w:rPr>
                <w:sz w:val="22"/>
                <w:szCs w:val="22"/>
              </w:rPr>
            </w:pPr>
          </w:p>
        </w:tc>
        <w:tc>
          <w:tcPr>
            <w:tcW w:w="0" w:type="auto"/>
          </w:tcPr>
          <w:p w14:paraId="276FE703" w14:textId="77777777" w:rsidR="00DB7FBC" w:rsidRPr="00615F30" w:rsidRDefault="00DB7FBC" w:rsidP="000E32EE">
            <w:pPr>
              <w:pStyle w:val="FigureTable"/>
              <w:ind w:left="0"/>
              <w:rPr>
                <w:sz w:val="22"/>
                <w:szCs w:val="22"/>
              </w:rPr>
            </w:pPr>
          </w:p>
        </w:tc>
      </w:tr>
      <w:tr w:rsidR="00DB7FBC" w:rsidRPr="00EB159B" w14:paraId="07336D53" w14:textId="77777777" w:rsidTr="00DB7FBC">
        <w:trPr>
          <w:trHeight w:val="267"/>
        </w:trPr>
        <w:tc>
          <w:tcPr>
            <w:tcW w:w="1620" w:type="dxa"/>
          </w:tcPr>
          <w:p w14:paraId="54A0838C" w14:textId="77777777" w:rsidR="00DB7FBC" w:rsidRPr="00615F30" w:rsidRDefault="00DB7FBC" w:rsidP="000E32EE">
            <w:pPr>
              <w:pStyle w:val="FigureTable"/>
              <w:ind w:left="0"/>
              <w:rPr>
                <w:sz w:val="22"/>
                <w:szCs w:val="22"/>
              </w:rPr>
            </w:pPr>
          </w:p>
        </w:tc>
        <w:tc>
          <w:tcPr>
            <w:tcW w:w="0" w:type="auto"/>
          </w:tcPr>
          <w:p w14:paraId="2CE3773D" w14:textId="77777777" w:rsidR="00DB7FBC" w:rsidRPr="00615F30" w:rsidRDefault="00DB7FBC" w:rsidP="000E32EE">
            <w:pPr>
              <w:pStyle w:val="FigureTable"/>
              <w:ind w:left="0"/>
              <w:rPr>
                <w:sz w:val="22"/>
                <w:szCs w:val="22"/>
              </w:rPr>
            </w:pPr>
          </w:p>
        </w:tc>
        <w:tc>
          <w:tcPr>
            <w:tcW w:w="0" w:type="auto"/>
          </w:tcPr>
          <w:p w14:paraId="2D622FC9" w14:textId="77777777" w:rsidR="00DB7FBC" w:rsidRPr="00615F30" w:rsidRDefault="00DB7FBC" w:rsidP="000E32EE">
            <w:pPr>
              <w:pStyle w:val="FigureTable"/>
              <w:ind w:left="0"/>
              <w:rPr>
                <w:sz w:val="22"/>
                <w:szCs w:val="22"/>
              </w:rPr>
            </w:pPr>
          </w:p>
        </w:tc>
        <w:tc>
          <w:tcPr>
            <w:tcW w:w="0" w:type="auto"/>
          </w:tcPr>
          <w:p w14:paraId="2ACFF695" w14:textId="77777777" w:rsidR="00DB7FBC" w:rsidRPr="00615F30" w:rsidRDefault="00DB7FBC" w:rsidP="000E32EE">
            <w:pPr>
              <w:pStyle w:val="FigureTable"/>
              <w:ind w:left="0"/>
              <w:rPr>
                <w:sz w:val="22"/>
                <w:szCs w:val="22"/>
              </w:rPr>
            </w:pPr>
          </w:p>
        </w:tc>
      </w:tr>
      <w:tr w:rsidR="00DB7FBC" w:rsidRPr="00EB159B" w14:paraId="520DC503" w14:textId="77777777" w:rsidTr="00DB7FBC">
        <w:trPr>
          <w:trHeight w:val="267"/>
        </w:trPr>
        <w:tc>
          <w:tcPr>
            <w:tcW w:w="1620" w:type="dxa"/>
          </w:tcPr>
          <w:p w14:paraId="5AF5CFA9" w14:textId="7EB48046" w:rsidR="00DB7FBC" w:rsidRPr="00615F30" w:rsidRDefault="0076452F" w:rsidP="000E32EE">
            <w:pPr>
              <w:pStyle w:val="FigureTable"/>
              <w:ind w:left="0"/>
              <w:rPr>
                <w:b/>
                <w:sz w:val="22"/>
                <w:szCs w:val="22"/>
              </w:rPr>
            </w:pPr>
            <w:r w:rsidRPr="00615F30">
              <w:rPr>
                <w:b/>
                <w:sz w:val="22"/>
                <w:szCs w:val="22"/>
              </w:rPr>
              <w:t>Total</w:t>
            </w:r>
          </w:p>
        </w:tc>
        <w:tc>
          <w:tcPr>
            <w:tcW w:w="0" w:type="auto"/>
          </w:tcPr>
          <w:p w14:paraId="232C5D50" w14:textId="14C16E01" w:rsidR="00DB7FBC" w:rsidRPr="00615F30" w:rsidRDefault="002B06F8" w:rsidP="000E32EE">
            <w:pPr>
              <w:pStyle w:val="FigureTable"/>
              <w:ind w:left="0"/>
              <w:rPr>
                <w:b/>
                <w:sz w:val="22"/>
                <w:szCs w:val="22"/>
              </w:rPr>
            </w:pPr>
            <w:r w:rsidRPr="002B06F8">
              <w:rPr>
                <w:b/>
                <w:sz w:val="22"/>
                <w:szCs w:val="22"/>
                <w:highlight w:val="yellow"/>
              </w:rPr>
              <w:t>x</w:t>
            </w:r>
            <w:r w:rsidR="006B4E23" w:rsidRPr="00615F30">
              <w:rPr>
                <w:b/>
                <w:sz w:val="22"/>
                <w:szCs w:val="22"/>
              </w:rPr>
              <w:t xml:space="preserve"> sf</w:t>
            </w:r>
          </w:p>
        </w:tc>
        <w:tc>
          <w:tcPr>
            <w:tcW w:w="0" w:type="auto"/>
          </w:tcPr>
          <w:p w14:paraId="78049482" w14:textId="2956048C" w:rsidR="00DB7FBC" w:rsidRPr="00615F30" w:rsidRDefault="00812367" w:rsidP="000E32EE">
            <w:pPr>
              <w:pStyle w:val="FigureTable"/>
              <w:ind w:left="0"/>
              <w:rPr>
                <w:b/>
                <w:sz w:val="22"/>
                <w:szCs w:val="22"/>
              </w:rPr>
            </w:pPr>
            <w:r w:rsidRPr="002B06F8">
              <w:rPr>
                <w:b/>
                <w:sz w:val="22"/>
                <w:szCs w:val="22"/>
              </w:rPr>
              <w:t>X</w:t>
            </w:r>
            <w:r w:rsidR="006B4E23" w:rsidRPr="00615F30">
              <w:rPr>
                <w:b/>
                <w:sz w:val="22"/>
                <w:szCs w:val="22"/>
              </w:rPr>
              <w:t xml:space="preserve"> kW</w:t>
            </w:r>
          </w:p>
        </w:tc>
        <w:tc>
          <w:tcPr>
            <w:tcW w:w="0" w:type="auto"/>
          </w:tcPr>
          <w:p w14:paraId="62C2463F" w14:textId="746E3AF6" w:rsidR="00DB7FBC" w:rsidRPr="00615F30" w:rsidRDefault="00753524" w:rsidP="000E32EE">
            <w:pPr>
              <w:pStyle w:val="FigureTable"/>
              <w:ind w:left="0"/>
              <w:rPr>
                <w:b/>
                <w:sz w:val="22"/>
                <w:szCs w:val="22"/>
              </w:rPr>
            </w:pPr>
            <w:r>
              <w:rPr>
                <w:b/>
                <w:sz w:val="22"/>
                <w:szCs w:val="22"/>
                <w:highlight w:val="yellow"/>
              </w:rPr>
              <w:t>x</w:t>
            </w:r>
            <w:r w:rsidR="006B4E23" w:rsidRPr="00615F30">
              <w:rPr>
                <w:b/>
                <w:sz w:val="22"/>
                <w:szCs w:val="22"/>
              </w:rPr>
              <w:t xml:space="preserve"> W/sf</w:t>
            </w:r>
          </w:p>
        </w:tc>
      </w:tr>
    </w:tbl>
    <w:p w14:paraId="7965F5D5" w14:textId="180627C1" w:rsidR="00DB7FBC" w:rsidRPr="00615F30" w:rsidRDefault="00DB7FBC" w:rsidP="00DB7FBC">
      <w:pPr>
        <w:jc w:val="center"/>
        <w:rPr>
          <w:b/>
          <w:sz w:val="22"/>
          <w:szCs w:val="22"/>
        </w:rPr>
      </w:pPr>
      <w:r w:rsidRPr="00615F30">
        <w:rPr>
          <w:b/>
          <w:sz w:val="22"/>
          <w:szCs w:val="22"/>
        </w:rPr>
        <w:t>Table 2 - IT Equipment Load</w:t>
      </w:r>
    </w:p>
    <w:p w14:paraId="4627CD03" w14:textId="63C47317" w:rsidR="00DB7FBC" w:rsidRDefault="00812367" w:rsidP="000C14FF">
      <w:pPr>
        <w:pStyle w:val="Heading3"/>
      </w:pPr>
      <w:r w:rsidRPr="00812367">
        <w:t>Data Center Energy End Use</w:t>
      </w:r>
    </w:p>
    <w:p w14:paraId="129E09DF" w14:textId="7ECA1645" w:rsidR="00812367" w:rsidRPr="00812367" w:rsidRDefault="00812367" w:rsidP="00812367">
      <w:pPr>
        <w:rPr>
          <w:rFonts w:eastAsiaTheme="minorEastAsia"/>
          <w:sz w:val="22"/>
          <w:szCs w:val="22"/>
        </w:rPr>
      </w:pPr>
      <w:r w:rsidRPr="00812367">
        <w:rPr>
          <w:rFonts w:eastAsiaTheme="minorEastAsia"/>
          <w:sz w:val="22"/>
          <w:szCs w:val="22"/>
        </w:rPr>
        <w:t xml:space="preserve">The electrical end use breakdown associated with the data center space was determined and is shown in Table </w:t>
      </w:r>
      <w:r w:rsidRPr="00F17F5B">
        <w:rPr>
          <w:rFonts w:eastAsiaTheme="minorEastAsia"/>
          <w:sz w:val="22"/>
          <w:szCs w:val="22"/>
          <w:highlight w:val="yellow"/>
        </w:rPr>
        <w:t>3</w:t>
      </w:r>
      <w:r>
        <w:rPr>
          <w:rFonts w:eastAsiaTheme="minorEastAsia"/>
          <w:sz w:val="22"/>
          <w:szCs w:val="22"/>
        </w:rPr>
        <w:t xml:space="preserve"> and illustrated in Figure </w:t>
      </w:r>
      <w:r w:rsidRPr="00F17F5B">
        <w:rPr>
          <w:rFonts w:eastAsiaTheme="minorEastAsia"/>
          <w:sz w:val="22"/>
          <w:szCs w:val="22"/>
          <w:highlight w:val="yellow"/>
        </w:rPr>
        <w:t>2</w:t>
      </w:r>
      <w:r>
        <w:rPr>
          <w:rFonts w:eastAsiaTheme="minorEastAsia"/>
          <w:sz w:val="22"/>
          <w:szCs w:val="22"/>
        </w:rPr>
        <w:t xml:space="preserve">. </w:t>
      </w:r>
      <w:r w:rsidRPr="00812367">
        <w:rPr>
          <w:rFonts w:eastAsiaTheme="minorEastAsia"/>
          <w:sz w:val="22"/>
          <w:szCs w:val="22"/>
        </w:rPr>
        <w:t>This breakdown is based</w:t>
      </w:r>
      <w:r>
        <w:rPr>
          <w:rFonts w:eastAsiaTheme="minorEastAsia"/>
          <w:sz w:val="22"/>
          <w:szCs w:val="22"/>
        </w:rPr>
        <w:t xml:space="preserve"> on </w:t>
      </w:r>
      <w:r w:rsidRPr="00812367">
        <w:rPr>
          <w:rFonts w:eastAsiaTheme="minorEastAsia"/>
          <w:sz w:val="22"/>
          <w:szCs w:val="22"/>
          <w:highlight w:val="yellow"/>
        </w:rPr>
        <w:t>Month/Year</w:t>
      </w:r>
      <w:r>
        <w:rPr>
          <w:rFonts w:eastAsiaTheme="minorEastAsia"/>
          <w:sz w:val="22"/>
          <w:szCs w:val="22"/>
        </w:rPr>
        <w:t xml:space="preserve"> site visit data </w:t>
      </w:r>
      <w:r w:rsidRPr="00812367">
        <w:rPr>
          <w:rFonts w:eastAsiaTheme="minorEastAsia"/>
          <w:sz w:val="22"/>
          <w:szCs w:val="22"/>
          <w:highlight w:val="yellow"/>
        </w:rPr>
        <w:t>[add note if any adjustments made such as increased IT load]</w:t>
      </w:r>
      <w:r>
        <w:rPr>
          <w:rFonts w:eastAsiaTheme="minorEastAsia"/>
          <w:sz w:val="22"/>
          <w:szCs w:val="22"/>
        </w:rPr>
        <w:t xml:space="preserve">. </w:t>
      </w:r>
      <w:r w:rsidR="00545069">
        <w:rPr>
          <w:rFonts w:eastAsiaTheme="minorEastAsia"/>
          <w:sz w:val="22"/>
          <w:szCs w:val="22"/>
        </w:rPr>
        <w:t>I</w:t>
      </w:r>
      <w:r w:rsidRPr="00812367">
        <w:rPr>
          <w:rFonts w:eastAsiaTheme="minorEastAsia"/>
          <w:sz w:val="22"/>
          <w:szCs w:val="22"/>
        </w:rPr>
        <w:t xml:space="preserve">t shows a baseline Power Usage Effectiveness (PUE, the ratio of total data center energy to IT input energy) of approximately </w:t>
      </w:r>
      <w:r w:rsidR="000B7332">
        <w:rPr>
          <w:rFonts w:eastAsiaTheme="minorEastAsia"/>
          <w:sz w:val="22"/>
          <w:szCs w:val="22"/>
          <w:highlight w:val="yellow"/>
        </w:rPr>
        <w:t>x.x</w:t>
      </w:r>
      <w:r w:rsidRPr="00812367">
        <w:rPr>
          <w:rFonts w:eastAsiaTheme="minorEastAsia"/>
          <w:sz w:val="22"/>
          <w:szCs w:val="22"/>
        </w:rPr>
        <w:t>, prior to subsequent operational improvements described elsewhere in this report.</w:t>
      </w:r>
    </w:p>
    <w:p w14:paraId="028015E5" w14:textId="7DCB5498" w:rsidR="00812367" w:rsidRDefault="006F689F" w:rsidP="00391A4D">
      <w:pPr>
        <w:jc w:val="center"/>
        <w:rPr>
          <w:rFonts w:eastAsiaTheme="minorEastAsia"/>
          <w:sz w:val="22"/>
          <w:szCs w:val="22"/>
        </w:rPr>
      </w:pPr>
      <w:r>
        <w:rPr>
          <w:rFonts w:eastAsiaTheme="minorEastAsia"/>
          <w:sz w:val="22"/>
          <w:szCs w:val="22"/>
          <w:highlight w:val="yellow"/>
        </w:rPr>
        <w:t>Replace end-u</w:t>
      </w:r>
      <w:r w:rsidR="00391A4D" w:rsidRPr="00391A4D">
        <w:rPr>
          <w:rFonts w:eastAsiaTheme="minorEastAsia"/>
          <w:sz w:val="22"/>
          <w:szCs w:val="22"/>
          <w:highlight w:val="yellow"/>
        </w:rPr>
        <w:t xml:space="preserve">se </w:t>
      </w:r>
      <w:r>
        <w:rPr>
          <w:rFonts w:eastAsiaTheme="minorEastAsia"/>
          <w:sz w:val="22"/>
          <w:szCs w:val="22"/>
          <w:highlight w:val="yellow"/>
        </w:rPr>
        <w:t xml:space="preserve">categories </w:t>
      </w:r>
      <w:r w:rsidR="00391A4D" w:rsidRPr="00391A4D">
        <w:rPr>
          <w:rFonts w:eastAsiaTheme="minorEastAsia"/>
          <w:sz w:val="22"/>
          <w:szCs w:val="22"/>
          <w:highlight w:val="yellow"/>
        </w:rPr>
        <w:t xml:space="preserve">with </w:t>
      </w:r>
      <w:r w:rsidR="00A91802">
        <w:rPr>
          <w:rFonts w:eastAsiaTheme="minorEastAsia"/>
          <w:sz w:val="22"/>
          <w:szCs w:val="22"/>
          <w:highlight w:val="yellow"/>
        </w:rPr>
        <w:t xml:space="preserve">data center’s </w:t>
      </w:r>
      <w:r w:rsidR="00391A4D" w:rsidRPr="00391A4D">
        <w:rPr>
          <w:rFonts w:eastAsiaTheme="minorEastAsia"/>
          <w:sz w:val="22"/>
          <w:szCs w:val="22"/>
          <w:highlight w:val="yellow"/>
        </w:rPr>
        <w:t>actual breakdow</w:t>
      </w:r>
      <w:r w:rsidR="00391A4D" w:rsidRPr="001A1A3B">
        <w:rPr>
          <w:rFonts w:eastAsiaTheme="minorEastAsia"/>
          <w:sz w:val="22"/>
          <w:szCs w:val="22"/>
          <w:highlight w:val="yellow"/>
        </w:rPr>
        <w:t>n</w:t>
      </w:r>
      <w:r w:rsidR="001A1A3B" w:rsidRPr="001A1A3B">
        <w:rPr>
          <w:rFonts w:eastAsiaTheme="minorEastAsia"/>
          <w:sz w:val="22"/>
          <w:szCs w:val="22"/>
          <w:highlight w:val="yellow"/>
        </w:rPr>
        <w:t>:</w:t>
      </w:r>
      <w:r w:rsidR="00391A4D">
        <w:rPr>
          <w:rFonts w:eastAsiaTheme="minorEastAsia"/>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4306"/>
        <w:gridCol w:w="1435"/>
      </w:tblGrid>
      <w:tr w:rsidR="0076452F" w:rsidRPr="00EB159B" w14:paraId="02586D2E" w14:textId="77777777" w:rsidTr="001A022F">
        <w:trPr>
          <w:trHeight w:val="830"/>
        </w:trPr>
        <w:tc>
          <w:tcPr>
            <w:tcW w:w="1759" w:type="pct"/>
          </w:tcPr>
          <w:p w14:paraId="7F011839" w14:textId="63DC6AC8" w:rsidR="003F189C" w:rsidRPr="00116456" w:rsidRDefault="003F189C" w:rsidP="006B4E23">
            <w:pPr>
              <w:pStyle w:val="FigureTable"/>
              <w:ind w:left="0"/>
              <w:rPr>
                <w:b/>
                <w:sz w:val="22"/>
                <w:szCs w:val="22"/>
              </w:rPr>
            </w:pPr>
            <w:r w:rsidRPr="00116456">
              <w:rPr>
                <w:b/>
                <w:sz w:val="22"/>
                <w:szCs w:val="22"/>
              </w:rPr>
              <w:t>Data Center End Use</w:t>
            </w:r>
          </w:p>
        </w:tc>
        <w:tc>
          <w:tcPr>
            <w:tcW w:w="2431" w:type="pct"/>
          </w:tcPr>
          <w:p w14:paraId="1AFC9748" w14:textId="77777777" w:rsidR="003F189C" w:rsidRPr="00116456" w:rsidRDefault="003F189C" w:rsidP="006B4E23">
            <w:pPr>
              <w:pStyle w:val="FigureTable"/>
              <w:ind w:left="0"/>
              <w:rPr>
                <w:b/>
                <w:sz w:val="22"/>
                <w:szCs w:val="22"/>
              </w:rPr>
            </w:pPr>
            <w:r w:rsidRPr="00116456">
              <w:rPr>
                <w:b/>
                <w:sz w:val="22"/>
                <w:szCs w:val="22"/>
              </w:rPr>
              <w:t>Average Load</w:t>
            </w:r>
          </w:p>
          <w:p w14:paraId="680B33D9" w14:textId="435F7827" w:rsidR="003F189C" w:rsidRPr="00116456" w:rsidRDefault="003F189C" w:rsidP="006B4E23">
            <w:pPr>
              <w:pStyle w:val="FigureTable"/>
              <w:ind w:left="0"/>
              <w:rPr>
                <w:b/>
                <w:sz w:val="22"/>
                <w:szCs w:val="22"/>
              </w:rPr>
            </w:pPr>
            <w:r w:rsidRPr="00116456">
              <w:rPr>
                <w:b/>
                <w:sz w:val="22"/>
                <w:szCs w:val="22"/>
              </w:rPr>
              <w:t>(kW)</w:t>
            </w:r>
          </w:p>
        </w:tc>
        <w:tc>
          <w:tcPr>
            <w:tcW w:w="810" w:type="pct"/>
          </w:tcPr>
          <w:p w14:paraId="22B10ACE" w14:textId="77777777" w:rsidR="003F189C" w:rsidRPr="00116456" w:rsidRDefault="003F189C" w:rsidP="006B4E23">
            <w:pPr>
              <w:pStyle w:val="FigureTable"/>
              <w:ind w:left="0"/>
              <w:rPr>
                <w:b/>
                <w:sz w:val="22"/>
                <w:szCs w:val="22"/>
              </w:rPr>
            </w:pPr>
            <w:r w:rsidRPr="00116456">
              <w:rPr>
                <w:b/>
                <w:sz w:val="22"/>
                <w:szCs w:val="22"/>
              </w:rPr>
              <w:t>Percent of Data Center Total</w:t>
            </w:r>
          </w:p>
          <w:p w14:paraId="10D0F077" w14:textId="59438F80" w:rsidR="003F189C" w:rsidRPr="00116456" w:rsidRDefault="003F189C" w:rsidP="006B4E23">
            <w:pPr>
              <w:pStyle w:val="FigureTable"/>
              <w:ind w:left="0"/>
              <w:rPr>
                <w:b/>
                <w:sz w:val="22"/>
                <w:szCs w:val="22"/>
              </w:rPr>
            </w:pPr>
            <w:r w:rsidRPr="00116456">
              <w:rPr>
                <w:b/>
                <w:sz w:val="22"/>
                <w:szCs w:val="22"/>
              </w:rPr>
              <w:t>(%)</w:t>
            </w:r>
          </w:p>
        </w:tc>
      </w:tr>
      <w:tr w:rsidR="0076452F" w:rsidRPr="00EB159B" w14:paraId="0B3559E1" w14:textId="77777777" w:rsidTr="001A022F">
        <w:trPr>
          <w:trHeight w:val="279"/>
        </w:trPr>
        <w:tc>
          <w:tcPr>
            <w:tcW w:w="1759" w:type="pct"/>
          </w:tcPr>
          <w:p w14:paraId="15613529" w14:textId="7277C8C8" w:rsidR="003F189C" w:rsidRPr="00391A4D" w:rsidRDefault="00F23AE2" w:rsidP="008E20FD">
            <w:pPr>
              <w:pStyle w:val="FigureTable"/>
              <w:ind w:left="0"/>
              <w:rPr>
                <w:sz w:val="22"/>
                <w:szCs w:val="22"/>
                <w:highlight w:val="yellow"/>
              </w:rPr>
            </w:pPr>
            <w:r w:rsidRPr="00391A4D">
              <w:rPr>
                <w:sz w:val="22"/>
                <w:szCs w:val="22"/>
                <w:highlight w:val="yellow"/>
              </w:rPr>
              <w:t xml:space="preserve">IT </w:t>
            </w:r>
            <w:r w:rsidR="008E20FD">
              <w:rPr>
                <w:sz w:val="22"/>
                <w:szCs w:val="22"/>
                <w:highlight w:val="yellow"/>
              </w:rPr>
              <w:t>input</w:t>
            </w:r>
          </w:p>
        </w:tc>
        <w:tc>
          <w:tcPr>
            <w:tcW w:w="2431" w:type="pct"/>
          </w:tcPr>
          <w:p w14:paraId="4D412942" w14:textId="77777777" w:rsidR="003F189C" w:rsidRPr="00391A4D" w:rsidRDefault="003F189C" w:rsidP="006B4E23">
            <w:pPr>
              <w:pStyle w:val="FigureTable"/>
              <w:ind w:left="0"/>
              <w:rPr>
                <w:sz w:val="22"/>
                <w:szCs w:val="22"/>
                <w:highlight w:val="yellow"/>
              </w:rPr>
            </w:pPr>
          </w:p>
        </w:tc>
        <w:tc>
          <w:tcPr>
            <w:tcW w:w="810" w:type="pct"/>
          </w:tcPr>
          <w:p w14:paraId="57D89EC5" w14:textId="77777777" w:rsidR="003F189C" w:rsidRPr="00391A4D" w:rsidRDefault="003F189C" w:rsidP="006B4E23">
            <w:pPr>
              <w:pStyle w:val="FigureTable"/>
              <w:ind w:left="0"/>
              <w:rPr>
                <w:sz w:val="22"/>
                <w:szCs w:val="22"/>
                <w:highlight w:val="yellow"/>
              </w:rPr>
            </w:pPr>
          </w:p>
        </w:tc>
      </w:tr>
      <w:tr w:rsidR="0076452F" w:rsidRPr="00EB159B" w14:paraId="75258DB3" w14:textId="77777777" w:rsidTr="001A022F">
        <w:trPr>
          <w:trHeight w:val="279"/>
        </w:trPr>
        <w:tc>
          <w:tcPr>
            <w:tcW w:w="1759" w:type="pct"/>
          </w:tcPr>
          <w:p w14:paraId="18C5C6BC" w14:textId="17CABA2B" w:rsidR="003F189C" w:rsidRPr="00391A4D" w:rsidRDefault="00457010" w:rsidP="00150C14">
            <w:pPr>
              <w:pStyle w:val="FigureTable"/>
              <w:ind w:left="0"/>
              <w:rPr>
                <w:sz w:val="22"/>
                <w:szCs w:val="22"/>
                <w:highlight w:val="yellow"/>
              </w:rPr>
            </w:pPr>
            <w:r>
              <w:rPr>
                <w:sz w:val="22"/>
                <w:szCs w:val="22"/>
                <w:highlight w:val="yellow"/>
              </w:rPr>
              <w:t>CRAH humidity control</w:t>
            </w:r>
          </w:p>
        </w:tc>
        <w:tc>
          <w:tcPr>
            <w:tcW w:w="2431" w:type="pct"/>
          </w:tcPr>
          <w:p w14:paraId="7665E466" w14:textId="77777777" w:rsidR="003F189C" w:rsidRPr="00391A4D" w:rsidRDefault="003F189C" w:rsidP="006B4E23">
            <w:pPr>
              <w:pStyle w:val="FigureTable"/>
              <w:ind w:left="0"/>
              <w:rPr>
                <w:sz w:val="22"/>
                <w:szCs w:val="22"/>
                <w:highlight w:val="yellow"/>
              </w:rPr>
            </w:pPr>
          </w:p>
        </w:tc>
        <w:tc>
          <w:tcPr>
            <w:tcW w:w="810" w:type="pct"/>
          </w:tcPr>
          <w:p w14:paraId="3DF80F8C" w14:textId="77777777" w:rsidR="003F189C" w:rsidRPr="00391A4D" w:rsidRDefault="003F189C" w:rsidP="006B4E23">
            <w:pPr>
              <w:pStyle w:val="FigureTable"/>
              <w:ind w:left="0"/>
              <w:rPr>
                <w:sz w:val="22"/>
                <w:szCs w:val="22"/>
                <w:highlight w:val="yellow"/>
              </w:rPr>
            </w:pPr>
          </w:p>
        </w:tc>
      </w:tr>
      <w:tr w:rsidR="0076452F" w:rsidRPr="00EB159B" w14:paraId="7351DE5F" w14:textId="77777777" w:rsidTr="001A022F">
        <w:trPr>
          <w:trHeight w:val="279"/>
        </w:trPr>
        <w:tc>
          <w:tcPr>
            <w:tcW w:w="1759" w:type="pct"/>
          </w:tcPr>
          <w:p w14:paraId="7952EAB4" w14:textId="7953D28A" w:rsidR="003F189C" w:rsidRPr="00391A4D" w:rsidRDefault="008E20FD" w:rsidP="00150C14">
            <w:pPr>
              <w:pStyle w:val="FigureTable"/>
              <w:ind w:left="0"/>
              <w:rPr>
                <w:sz w:val="22"/>
                <w:szCs w:val="22"/>
                <w:highlight w:val="yellow"/>
              </w:rPr>
            </w:pPr>
            <w:r>
              <w:rPr>
                <w:sz w:val="22"/>
                <w:szCs w:val="22"/>
                <w:highlight w:val="yellow"/>
              </w:rPr>
              <w:t>CRAH fans</w:t>
            </w:r>
          </w:p>
        </w:tc>
        <w:tc>
          <w:tcPr>
            <w:tcW w:w="2431" w:type="pct"/>
          </w:tcPr>
          <w:p w14:paraId="7D02F54C" w14:textId="77777777" w:rsidR="003F189C" w:rsidRPr="00391A4D" w:rsidRDefault="003F189C" w:rsidP="006B4E23">
            <w:pPr>
              <w:pStyle w:val="FigureTable"/>
              <w:ind w:left="0"/>
              <w:rPr>
                <w:sz w:val="22"/>
                <w:szCs w:val="22"/>
                <w:highlight w:val="yellow"/>
              </w:rPr>
            </w:pPr>
          </w:p>
        </w:tc>
        <w:tc>
          <w:tcPr>
            <w:tcW w:w="810" w:type="pct"/>
          </w:tcPr>
          <w:p w14:paraId="758952D3" w14:textId="77777777" w:rsidR="003F189C" w:rsidRPr="00391A4D" w:rsidRDefault="003F189C" w:rsidP="006B4E23">
            <w:pPr>
              <w:pStyle w:val="FigureTable"/>
              <w:ind w:left="0"/>
              <w:rPr>
                <w:sz w:val="22"/>
                <w:szCs w:val="22"/>
                <w:highlight w:val="yellow"/>
              </w:rPr>
            </w:pPr>
          </w:p>
        </w:tc>
      </w:tr>
      <w:tr w:rsidR="0076452F" w:rsidRPr="00EB159B" w14:paraId="62A0D856" w14:textId="77777777" w:rsidTr="001A022F">
        <w:trPr>
          <w:trHeight w:val="279"/>
        </w:trPr>
        <w:tc>
          <w:tcPr>
            <w:tcW w:w="1759" w:type="pct"/>
          </w:tcPr>
          <w:p w14:paraId="07B32865" w14:textId="4903CCFD" w:rsidR="003F189C" w:rsidRPr="00391A4D" w:rsidRDefault="008E20FD" w:rsidP="00150C14">
            <w:pPr>
              <w:pStyle w:val="FigureTable"/>
              <w:ind w:left="0"/>
              <w:rPr>
                <w:sz w:val="22"/>
                <w:szCs w:val="22"/>
                <w:highlight w:val="yellow"/>
              </w:rPr>
            </w:pPr>
            <w:r>
              <w:rPr>
                <w:sz w:val="22"/>
                <w:szCs w:val="22"/>
                <w:highlight w:val="yellow"/>
              </w:rPr>
              <w:t>Cooling towers</w:t>
            </w:r>
          </w:p>
        </w:tc>
        <w:tc>
          <w:tcPr>
            <w:tcW w:w="2431" w:type="pct"/>
          </w:tcPr>
          <w:p w14:paraId="7F215792" w14:textId="77777777" w:rsidR="003F189C" w:rsidRPr="00391A4D" w:rsidRDefault="003F189C" w:rsidP="006B4E23">
            <w:pPr>
              <w:pStyle w:val="FigureTable"/>
              <w:ind w:left="0"/>
              <w:rPr>
                <w:sz w:val="22"/>
                <w:szCs w:val="22"/>
                <w:highlight w:val="yellow"/>
              </w:rPr>
            </w:pPr>
          </w:p>
        </w:tc>
        <w:tc>
          <w:tcPr>
            <w:tcW w:w="810" w:type="pct"/>
          </w:tcPr>
          <w:p w14:paraId="3D2974AD" w14:textId="77777777" w:rsidR="003F189C" w:rsidRPr="00391A4D" w:rsidRDefault="003F189C" w:rsidP="006B4E23">
            <w:pPr>
              <w:pStyle w:val="FigureTable"/>
              <w:ind w:left="0"/>
              <w:rPr>
                <w:sz w:val="22"/>
                <w:szCs w:val="22"/>
                <w:highlight w:val="yellow"/>
              </w:rPr>
            </w:pPr>
          </w:p>
        </w:tc>
      </w:tr>
      <w:tr w:rsidR="0076452F" w:rsidRPr="00EB159B" w14:paraId="45C0AAE0" w14:textId="77777777" w:rsidTr="001A022F">
        <w:trPr>
          <w:trHeight w:val="279"/>
        </w:trPr>
        <w:tc>
          <w:tcPr>
            <w:tcW w:w="1759" w:type="pct"/>
          </w:tcPr>
          <w:p w14:paraId="1EEA764F" w14:textId="5C1DAF2B" w:rsidR="003F189C" w:rsidRPr="00391A4D" w:rsidRDefault="008E20FD" w:rsidP="00150C14">
            <w:pPr>
              <w:pStyle w:val="FigureTable"/>
              <w:ind w:left="0"/>
              <w:rPr>
                <w:sz w:val="22"/>
                <w:szCs w:val="22"/>
                <w:highlight w:val="yellow"/>
              </w:rPr>
            </w:pPr>
            <w:r>
              <w:rPr>
                <w:sz w:val="22"/>
                <w:szCs w:val="22"/>
                <w:highlight w:val="yellow"/>
              </w:rPr>
              <w:t>Condenser water pumps</w:t>
            </w:r>
          </w:p>
        </w:tc>
        <w:tc>
          <w:tcPr>
            <w:tcW w:w="2431" w:type="pct"/>
          </w:tcPr>
          <w:p w14:paraId="23C96D7F" w14:textId="77777777" w:rsidR="003F189C" w:rsidRPr="00391A4D" w:rsidRDefault="003F189C" w:rsidP="006B4E23">
            <w:pPr>
              <w:pStyle w:val="FigureTable"/>
              <w:ind w:left="0"/>
              <w:rPr>
                <w:sz w:val="22"/>
                <w:szCs w:val="22"/>
                <w:highlight w:val="yellow"/>
              </w:rPr>
            </w:pPr>
          </w:p>
        </w:tc>
        <w:tc>
          <w:tcPr>
            <w:tcW w:w="810" w:type="pct"/>
          </w:tcPr>
          <w:p w14:paraId="017A6ED7" w14:textId="77777777" w:rsidR="003F189C" w:rsidRPr="00391A4D" w:rsidRDefault="003F189C" w:rsidP="006B4E23">
            <w:pPr>
              <w:pStyle w:val="FigureTable"/>
              <w:ind w:left="0"/>
              <w:rPr>
                <w:sz w:val="22"/>
                <w:szCs w:val="22"/>
                <w:highlight w:val="yellow"/>
              </w:rPr>
            </w:pPr>
          </w:p>
        </w:tc>
      </w:tr>
      <w:tr w:rsidR="0076452F" w:rsidRPr="00EB159B" w14:paraId="0EC2E928" w14:textId="77777777" w:rsidTr="001A022F">
        <w:trPr>
          <w:trHeight w:val="279"/>
        </w:trPr>
        <w:tc>
          <w:tcPr>
            <w:tcW w:w="1759" w:type="pct"/>
          </w:tcPr>
          <w:p w14:paraId="4224B3D4" w14:textId="46D2A1D6" w:rsidR="003F189C" w:rsidRPr="00391A4D" w:rsidRDefault="00FC34BF" w:rsidP="00457010">
            <w:pPr>
              <w:pStyle w:val="FigureTable"/>
              <w:ind w:left="0"/>
              <w:rPr>
                <w:sz w:val="22"/>
                <w:szCs w:val="22"/>
                <w:highlight w:val="yellow"/>
              </w:rPr>
            </w:pPr>
            <w:r>
              <w:rPr>
                <w:sz w:val="22"/>
                <w:szCs w:val="22"/>
                <w:highlight w:val="yellow"/>
              </w:rPr>
              <w:t>C</w:t>
            </w:r>
            <w:r w:rsidR="00457010">
              <w:rPr>
                <w:sz w:val="22"/>
                <w:szCs w:val="22"/>
                <w:highlight w:val="yellow"/>
              </w:rPr>
              <w:t>hilled water pumps</w:t>
            </w:r>
          </w:p>
        </w:tc>
        <w:tc>
          <w:tcPr>
            <w:tcW w:w="2431" w:type="pct"/>
          </w:tcPr>
          <w:p w14:paraId="15139D17" w14:textId="77777777" w:rsidR="003F189C" w:rsidRPr="00391A4D" w:rsidRDefault="003F189C" w:rsidP="006B4E23">
            <w:pPr>
              <w:pStyle w:val="FigureTable"/>
              <w:ind w:left="0"/>
              <w:rPr>
                <w:sz w:val="22"/>
                <w:szCs w:val="22"/>
                <w:highlight w:val="yellow"/>
              </w:rPr>
            </w:pPr>
          </w:p>
        </w:tc>
        <w:tc>
          <w:tcPr>
            <w:tcW w:w="810" w:type="pct"/>
          </w:tcPr>
          <w:p w14:paraId="2C7E435D" w14:textId="77777777" w:rsidR="003F189C" w:rsidRPr="00391A4D" w:rsidRDefault="003F189C" w:rsidP="006B4E23">
            <w:pPr>
              <w:pStyle w:val="FigureTable"/>
              <w:ind w:left="0"/>
              <w:rPr>
                <w:sz w:val="22"/>
                <w:szCs w:val="22"/>
                <w:highlight w:val="yellow"/>
              </w:rPr>
            </w:pPr>
          </w:p>
        </w:tc>
      </w:tr>
      <w:tr w:rsidR="00457010" w:rsidRPr="00EB159B" w14:paraId="67482EC5" w14:textId="77777777" w:rsidTr="001A022F">
        <w:trPr>
          <w:trHeight w:val="279"/>
        </w:trPr>
        <w:tc>
          <w:tcPr>
            <w:tcW w:w="1759" w:type="pct"/>
          </w:tcPr>
          <w:p w14:paraId="6BE9B918" w14:textId="6329100E" w:rsidR="00457010" w:rsidRDefault="00457010" w:rsidP="00150C14">
            <w:pPr>
              <w:pStyle w:val="FigureTable"/>
              <w:ind w:left="0"/>
              <w:rPr>
                <w:sz w:val="22"/>
                <w:szCs w:val="22"/>
                <w:highlight w:val="yellow"/>
              </w:rPr>
            </w:pPr>
            <w:r>
              <w:rPr>
                <w:sz w:val="22"/>
                <w:szCs w:val="22"/>
                <w:highlight w:val="yellow"/>
              </w:rPr>
              <w:t>Chillers</w:t>
            </w:r>
          </w:p>
        </w:tc>
        <w:tc>
          <w:tcPr>
            <w:tcW w:w="2431" w:type="pct"/>
          </w:tcPr>
          <w:p w14:paraId="006ECCA7" w14:textId="77777777" w:rsidR="00457010" w:rsidRPr="00391A4D" w:rsidRDefault="00457010" w:rsidP="006B4E23">
            <w:pPr>
              <w:pStyle w:val="FigureTable"/>
              <w:ind w:left="0"/>
              <w:rPr>
                <w:sz w:val="22"/>
                <w:szCs w:val="22"/>
                <w:highlight w:val="yellow"/>
              </w:rPr>
            </w:pPr>
          </w:p>
        </w:tc>
        <w:tc>
          <w:tcPr>
            <w:tcW w:w="810" w:type="pct"/>
          </w:tcPr>
          <w:p w14:paraId="35ADCAC1" w14:textId="77777777" w:rsidR="00457010" w:rsidRPr="00391A4D" w:rsidRDefault="00457010" w:rsidP="006B4E23">
            <w:pPr>
              <w:pStyle w:val="FigureTable"/>
              <w:ind w:left="0"/>
              <w:rPr>
                <w:sz w:val="22"/>
                <w:szCs w:val="22"/>
                <w:highlight w:val="yellow"/>
              </w:rPr>
            </w:pPr>
          </w:p>
        </w:tc>
      </w:tr>
      <w:tr w:rsidR="0076452F" w:rsidRPr="00EB159B" w14:paraId="3F52DF55" w14:textId="77777777" w:rsidTr="001A022F">
        <w:trPr>
          <w:trHeight w:val="279"/>
        </w:trPr>
        <w:tc>
          <w:tcPr>
            <w:tcW w:w="1759" w:type="pct"/>
          </w:tcPr>
          <w:p w14:paraId="4389030F" w14:textId="1C4444BD" w:rsidR="003F189C" w:rsidRPr="00391A4D" w:rsidRDefault="003F189C" w:rsidP="00150C14">
            <w:pPr>
              <w:pStyle w:val="FigureTable"/>
              <w:ind w:left="0"/>
              <w:rPr>
                <w:sz w:val="22"/>
                <w:szCs w:val="22"/>
                <w:highlight w:val="yellow"/>
              </w:rPr>
            </w:pPr>
            <w:r w:rsidRPr="00391A4D">
              <w:rPr>
                <w:sz w:val="22"/>
                <w:szCs w:val="22"/>
                <w:highlight w:val="yellow"/>
              </w:rPr>
              <w:t>Lighting</w:t>
            </w:r>
          </w:p>
        </w:tc>
        <w:tc>
          <w:tcPr>
            <w:tcW w:w="2431" w:type="pct"/>
          </w:tcPr>
          <w:p w14:paraId="7A472B44" w14:textId="77777777" w:rsidR="003F189C" w:rsidRPr="00391A4D" w:rsidRDefault="003F189C" w:rsidP="006B4E23">
            <w:pPr>
              <w:pStyle w:val="FigureTable"/>
              <w:ind w:left="0"/>
              <w:rPr>
                <w:sz w:val="22"/>
                <w:szCs w:val="22"/>
                <w:highlight w:val="yellow"/>
              </w:rPr>
            </w:pPr>
          </w:p>
        </w:tc>
        <w:tc>
          <w:tcPr>
            <w:tcW w:w="810" w:type="pct"/>
          </w:tcPr>
          <w:p w14:paraId="1753C139" w14:textId="77777777" w:rsidR="003F189C" w:rsidRPr="00391A4D" w:rsidRDefault="003F189C" w:rsidP="006B4E23">
            <w:pPr>
              <w:pStyle w:val="FigureTable"/>
              <w:ind w:left="0"/>
              <w:rPr>
                <w:sz w:val="22"/>
                <w:szCs w:val="22"/>
                <w:highlight w:val="yellow"/>
              </w:rPr>
            </w:pPr>
          </w:p>
        </w:tc>
      </w:tr>
      <w:tr w:rsidR="0076452F" w:rsidRPr="00EB159B" w14:paraId="6AB40E18" w14:textId="77777777" w:rsidTr="001A022F">
        <w:trPr>
          <w:trHeight w:val="279"/>
        </w:trPr>
        <w:tc>
          <w:tcPr>
            <w:tcW w:w="1759" w:type="pct"/>
          </w:tcPr>
          <w:p w14:paraId="34915CEA" w14:textId="4535BD26" w:rsidR="003F189C" w:rsidRPr="00391A4D" w:rsidRDefault="00457010" w:rsidP="00150C14">
            <w:pPr>
              <w:pStyle w:val="FigureTable"/>
              <w:ind w:left="0"/>
              <w:rPr>
                <w:sz w:val="22"/>
                <w:szCs w:val="22"/>
                <w:highlight w:val="yellow"/>
              </w:rPr>
            </w:pPr>
            <w:r>
              <w:rPr>
                <w:sz w:val="22"/>
                <w:szCs w:val="22"/>
                <w:highlight w:val="yellow"/>
              </w:rPr>
              <w:t>UPS loss</w:t>
            </w:r>
          </w:p>
        </w:tc>
        <w:tc>
          <w:tcPr>
            <w:tcW w:w="2431" w:type="pct"/>
          </w:tcPr>
          <w:p w14:paraId="47A64829" w14:textId="77777777" w:rsidR="003F189C" w:rsidRPr="00391A4D" w:rsidRDefault="003F189C" w:rsidP="006B4E23">
            <w:pPr>
              <w:pStyle w:val="FigureTable"/>
              <w:ind w:left="0"/>
              <w:rPr>
                <w:sz w:val="22"/>
                <w:szCs w:val="22"/>
                <w:highlight w:val="yellow"/>
              </w:rPr>
            </w:pPr>
          </w:p>
        </w:tc>
        <w:tc>
          <w:tcPr>
            <w:tcW w:w="810" w:type="pct"/>
          </w:tcPr>
          <w:p w14:paraId="512B2DDA" w14:textId="77777777" w:rsidR="003F189C" w:rsidRPr="00391A4D" w:rsidRDefault="003F189C" w:rsidP="006B4E23">
            <w:pPr>
              <w:pStyle w:val="FigureTable"/>
              <w:ind w:left="0"/>
              <w:rPr>
                <w:sz w:val="22"/>
                <w:szCs w:val="22"/>
                <w:highlight w:val="yellow"/>
              </w:rPr>
            </w:pPr>
          </w:p>
        </w:tc>
      </w:tr>
      <w:tr w:rsidR="0076452F" w:rsidRPr="00EB159B" w14:paraId="657AE6E5" w14:textId="77777777" w:rsidTr="001A022F">
        <w:trPr>
          <w:trHeight w:val="279"/>
        </w:trPr>
        <w:tc>
          <w:tcPr>
            <w:tcW w:w="1759" w:type="pct"/>
          </w:tcPr>
          <w:p w14:paraId="20DB798C" w14:textId="357B4F6E" w:rsidR="003F189C" w:rsidRPr="00391A4D" w:rsidRDefault="00457010" w:rsidP="00150C14">
            <w:pPr>
              <w:pStyle w:val="FigureTable"/>
              <w:ind w:left="0"/>
              <w:rPr>
                <w:sz w:val="22"/>
                <w:szCs w:val="22"/>
                <w:highlight w:val="yellow"/>
              </w:rPr>
            </w:pPr>
            <w:r>
              <w:rPr>
                <w:sz w:val="22"/>
                <w:szCs w:val="22"/>
                <w:highlight w:val="yellow"/>
              </w:rPr>
              <w:t>Transformer and PDU loss</w:t>
            </w:r>
          </w:p>
        </w:tc>
        <w:tc>
          <w:tcPr>
            <w:tcW w:w="2431" w:type="pct"/>
          </w:tcPr>
          <w:p w14:paraId="1ED2BEE9" w14:textId="77777777" w:rsidR="003F189C" w:rsidRPr="00391A4D" w:rsidRDefault="003F189C" w:rsidP="006B4E23">
            <w:pPr>
              <w:pStyle w:val="FigureTable"/>
              <w:ind w:left="0"/>
              <w:rPr>
                <w:sz w:val="22"/>
                <w:szCs w:val="22"/>
                <w:highlight w:val="yellow"/>
              </w:rPr>
            </w:pPr>
          </w:p>
        </w:tc>
        <w:tc>
          <w:tcPr>
            <w:tcW w:w="810" w:type="pct"/>
          </w:tcPr>
          <w:p w14:paraId="15F2BC53" w14:textId="77777777" w:rsidR="003F189C" w:rsidRPr="00391A4D" w:rsidRDefault="003F189C" w:rsidP="006B4E23">
            <w:pPr>
              <w:pStyle w:val="FigureTable"/>
              <w:ind w:left="0"/>
              <w:rPr>
                <w:sz w:val="22"/>
                <w:szCs w:val="22"/>
                <w:highlight w:val="yellow"/>
              </w:rPr>
            </w:pPr>
          </w:p>
        </w:tc>
      </w:tr>
      <w:tr w:rsidR="0076452F" w:rsidRPr="00EB159B" w14:paraId="1BAB53D6" w14:textId="77777777" w:rsidTr="001A022F">
        <w:trPr>
          <w:trHeight w:val="279"/>
        </w:trPr>
        <w:tc>
          <w:tcPr>
            <w:tcW w:w="1759" w:type="pct"/>
          </w:tcPr>
          <w:p w14:paraId="3CBA08EF" w14:textId="5B49D0DC" w:rsidR="003F189C" w:rsidRPr="00116456" w:rsidRDefault="006A5134" w:rsidP="006B4E23">
            <w:pPr>
              <w:pStyle w:val="FigureTable"/>
              <w:ind w:left="0"/>
              <w:rPr>
                <w:b/>
                <w:sz w:val="22"/>
                <w:szCs w:val="22"/>
              </w:rPr>
            </w:pPr>
            <w:r>
              <w:rPr>
                <w:b/>
                <w:sz w:val="22"/>
                <w:szCs w:val="22"/>
              </w:rPr>
              <w:t>Total</w:t>
            </w:r>
          </w:p>
        </w:tc>
        <w:tc>
          <w:tcPr>
            <w:tcW w:w="2431" w:type="pct"/>
          </w:tcPr>
          <w:p w14:paraId="47F58ADF" w14:textId="59131178" w:rsidR="003F189C" w:rsidRPr="00116456" w:rsidRDefault="003F189C" w:rsidP="006B4E23">
            <w:pPr>
              <w:pStyle w:val="FigureTable"/>
              <w:ind w:left="0"/>
              <w:rPr>
                <w:b/>
                <w:sz w:val="22"/>
                <w:szCs w:val="22"/>
              </w:rPr>
            </w:pPr>
            <w:r w:rsidRPr="00116456">
              <w:rPr>
                <w:b/>
                <w:sz w:val="22"/>
                <w:szCs w:val="22"/>
                <w:highlight w:val="yellow"/>
              </w:rPr>
              <w:t>x,xxx</w:t>
            </w:r>
            <w:r w:rsidRPr="00116456">
              <w:rPr>
                <w:b/>
                <w:sz w:val="22"/>
                <w:szCs w:val="22"/>
              </w:rPr>
              <w:t xml:space="preserve"> kW</w:t>
            </w:r>
          </w:p>
        </w:tc>
        <w:tc>
          <w:tcPr>
            <w:tcW w:w="810" w:type="pct"/>
          </w:tcPr>
          <w:p w14:paraId="31DD62E1" w14:textId="1B1A2E13" w:rsidR="003F189C" w:rsidRPr="00116456" w:rsidRDefault="000B7332" w:rsidP="006B4E23">
            <w:pPr>
              <w:pStyle w:val="FigureTable"/>
              <w:ind w:left="0"/>
              <w:rPr>
                <w:b/>
                <w:sz w:val="22"/>
                <w:szCs w:val="22"/>
              </w:rPr>
            </w:pPr>
            <w:r>
              <w:rPr>
                <w:b/>
                <w:sz w:val="22"/>
                <w:szCs w:val="22"/>
                <w:highlight w:val="yellow"/>
              </w:rPr>
              <w:t>x</w:t>
            </w:r>
            <w:r w:rsidR="00C82BDD" w:rsidRPr="00116456">
              <w:rPr>
                <w:b/>
                <w:sz w:val="22"/>
                <w:szCs w:val="22"/>
              </w:rPr>
              <w:t>%</w:t>
            </w:r>
          </w:p>
        </w:tc>
      </w:tr>
    </w:tbl>
    <w:p w14:paraId="284EE669" w14:textId="3093CFCF" w:rsidR="00C82BDD" w:rsidRPr="00116456" w:rsidRDefault="00C82BDD" w:rsidP="00C82BDD">
      <w:pPr>
        <w:jc w:val="center"/>
        <w:rPr>
          <w:b/>
          <w:sz w:val="22"/>
          <w:szCs w:val="22"/>
        </w:rPr>
      </w:pPr>
      <w:r w:rsidRPr="00116456">
        <w:rPr>
          <w:b/>
          <w:sz w:val="22"/>
          <w:szCs w:val="22"/>
        </w:rPr>
        <w:t>Table 3 – Summary of Data Center Electrical End Use</w:t>
      </w:r>
    </w:p>
    <w:p w14:paraId="5D0A5B68" w14:textId="71617D1E" w:rsidR="006B4E23" w:rsidRDefault="00C82BDD" w:rsidP="00812367">
      <w:pPr>
        <w:rPr>
          <w:rFonts w:eastAsiaTheme="minorEastAsia"/>
          <w:sz w:val="22"/>
          <w:szCs w:val="22"/>
        </w:rPr>
      </w:pPr>
      <w:r>
        <w:rPr>
          <w:rFonts w:eastAsiaTheme="minorEastAsia"/>
          <w:sz w:val="22"/>
          <w:szCs w:val="22"/>
        </w:rPr>
        <w:br w:type="page"/>
      </w:r>
    </w:p>
    <w:p w14:paraId="75D2C7FD" w14:textId="1546803D" w:rsidR="00C82BDD" w:rsidRDefault="00CD0AF5" w:rsidP="00C82BDD">
      <w:pPr>
        <w:jc w:val="center"/>
        <w:rPr>
          <w:b/>
          <w:sz w:val="22"/>
          <w:szCs w:val="22"/>
        </w:rPr>
      </w:pPr>
      <w:r>
        <w:rPr>
          <w:noProof/>
        </w:rPr>
        <w:drawing>
          <wp:anchor distT="0" distB="0" distL="114300" distR="114300" simplePos="0" relativeHeight="251668480" behindDoc="0" locked="0" layoutInCell="1" allowOverlap="1" wp14:anchorId="335D8ED7" wp14:editId="662C6ACB">
            <wp:simplePos x="0" y="0"/>
            <wp:positionH relativeFrom="margin">
              <wp:posOffset>495300</wp:posOffset>
            </wp:positionH>
            <wp:positionV relativeFrom="margin">
              <wp:posOffset>152400</wp:posOffset>
            </wp:positionV>
            <wp:extent cx="4800600" cy="3846195"/>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82BDD">
        <w:rPr>
          <w:b/>
          <w:sz w:val="22"/>
          <w:szCs w:val="22"/>
        </w:rPr>
        <w:t xml:space="preserve">Figure 2 – </w:t>
      </w:r>
      <w:r w:rsidR="00602050">
        <w:rPr>
          <w:b/>
          <w:sz w:val="22"/>
          <w:szCs w:val="22"/>
        </w:rPr>
        <w:t>Current Facility Performance (</w:t>
      </w:r>
      <w:r w:rsidR="006F689F">
        <w:rPr>
          <w:b/>
          <w:sz w:val="22"/>
          <w:szCs w:val="22"/>
          <w:highlight w:val="yellow"/>
        </w:rPr>
        <w:t>xx</w:t>
      </w:r>
      <w:r w:rsidR="00C82BDD">
        <w:rPr>
          <w:b/>
          <w:sz w:val="22"/>
          <w:szCs w:val="22"/>
        </w:rPr>
        <w:t xml:space="preserve"> Total kW, </w:t>
      </w:r>
      <w:r w:rsidR="006F689F" w:rsidRPr="006F689F">
        <w:rPr>
          <w:b/>
          <w:sz w:val="22"/>
          <w:szCs w:val="22"/>
          <w:highlight w:val="yellow"/>
        </w:rPr>
        <w:t>Month/Year</w:t>
      </w:r>
      <w:r w:rsidR="00602050">
        <w:rPr>
          <w:b/>
          <w:sz w:val="22"/>
          <w:szCs w:val="22"/>
        </w:rPr>
        <w:t>)</w:t>
      </w:r>
    </w:p>
    <w:p w14:paraId="4445BACD" w14:textId="3B629A62" w:rsidR="00391A4D" w:rsidRDefault="006F689F" w:rsidP="007E3F96">
      <w:pPr>
        <w:jc w:val="center"/>
        <w:rPr>
          <w:rFonts w:eastAsiaTheme="minorEastAsia"/>
          <w:sz w:val="22"/>
          <w:szCs w:val="22"/>
        </w:rPr>
      </w:pPr>
      <w:r>
        <w:rPr>
          <w:rFonts w:eastAsiaTheme="minorEastAsia"/>
          <w:sz w:val="22"/>
          <w:szCs w:val="22"/>
          <w:highlight w:val="yellow"/>
        </w:rPr>
        <w:t>Replace end-u</w:t>
      </w:r>
      <w:r w:rsidRPr="00391A4D">
        <w:rPr>
          <w:rFonts w:eastAsiaTheme="minorEastAsia"/>
          <w:sz w:val="22"/>
          <w:szCs w:val="22"/>
          <w:highlight w:val="yellow"/>
        </w:rPr>
        <w:t xml:space="preserve">se </w:t>
      </w:r>
      <w:r>
        <w:rPr>
          <w:rFonts w:eastAsiaTheme="minorEastAsia"/>
          <w:sz w:val="22"/>
          <w:szCs w:val="22"/>
          <w:highlight w:val="yellow"/>
        </w:rPr>
        <w:t xml:space="preserve">categories </w:t>
      </w:r>
      <w:r w:rsidRPr="00391A4D">
        <w:rPr>
          <w:rFonts w:eastAsiaTheme="minorEastAsia"/>
          <w:sz w:val="22"/>
          <w:szCs w:val="22"/>
          <w:highlight w:val="yellow"/>
        </w:rPr>
        <w:t xml:space="preserve">with </w:t>
      </w:r>
      <w:r>
        <w:rPr>
          <w:rFonts w:eastAsiaTheme="minorEastAsia"/>
          <w:sz w:val="22"/>
          <w:szCs w:val="22"/>
          <w:highlight w:val="yellow"/>
        </w:rPr>
        <w:t xml:space="preserve">data center’s </w:t>
      </w:r>
      <w:r w:rsidRPr="00391A4D">
        <w:rPr>
          <w:rFonts w:eastAsiaTheme="minorEastAsia"/>
          <w:sz w:val="22"/>
          <w:szCs w:val="22"/>
          <w:highlight w:val="yellow"/>
        </w:rPr>
        <w:t>actual breakdown</w:t>
      </w:r>
      <w:r w:rsidR="00347928">
        <w:rPr>
          <w:rFonts w:eastAsiaTheme="minorEastAsia"/>
          <w:sz w:val="22"/>
          <w:szCs w:val="22"/>
        </w:rPr>
        <w:t>.</w:t>
      </w:r>
    </w:p>
    <w:p w14:paraId="0BEAA843" w14:textId="77777777" w:rsidR="00391A4D" w:rsidRDefault="00391A4D" w:rsidP="00C82BDD">
      <w:pPr>
        <w:jc w:val="center"/>
        <w:rPr>
          <w:b/>
          <w:sz w:val="22"/>
          <w:szCs w:val="22"/>
        </w:rPr>
      </w:pPr>
    </w:p>
    <w:p w14:paraId="1D71B8B5" w14:textId="63BEA486" w:rsidR="0076452F" w:rsidRDefault="00336F03" w:rsidP="000C14FF">
      <w:pPr>
        <w:pStyle w:val="Heading1"/>
      </w:pPr>
      <w:bookmarkStart w:id="6" w:name="_Toc328915519"/>
      <w:r w:rsidRPr="00336F03">
        <w:t>4. Cooling System Description</w:t>
      </w:r>
      <w:bookmarkEnd w:id="6"/>
      <w:r w:rsidRPr="00336F03">
        <w:t xml:space="preserve"> </w:t>
      </w:r>
    </w:p>
    <w:p w14:paraId="6FA43231" w14:textId="0E135AE2" w:rsidR="005950F9" w:rsidRDefault="005E664E" w:rsidP="0004416E">
      <w:pPr>
        <w:rPr>
          <w:sz w:val="22"/>
          <w:szCs w:val="22"/>
          <w:highlight w:val="yellow"/>
        </w:rPr>
      </w:pPr>
      <w:r w:rsidRPr="005E664E">
        <w:rPr>
          <w:sz w:val="22"/>
          <w:szCs w:val="22"/>
          <w:highlight w:val="yellow"/>
        </w:rPr>
        <w:t xml:space="preserve">Provide </w:t>
      </w:r>
      <w:r w:rsidR="00694656">
        <w:rPr>
          <w:sz w:val="22"/>
          <w:szCs w:val="22"/>
          <w:highlight w:val="yellow"/>
        </w:rPr>
        <w:t xml:space="preserve">detailed </w:t>
      </w:r>
      <w:r w:rsidRPr="005E664E">
        <w:rPr>
          <w:sz w:val="22"/>
          <w:szCs w:val="22"/>
          <w:highlight w:val="yellow"/>
        </w:rPr>
        <w:t>information o</w:t>
      </w:r>
      <w:r w:rsidR="003614CE">
        <w:rPr>
          <w:sz w:val="22"/>
          <w:szCs w:val="22"/>
          <w:highlight w:val="yellow"/>
        </w:rPr>
        <w:t>n cooling system equipment and</w:t>
      </w:r>
      <w:r w:rsidRPr="005E664E">
        <w:rPr>
          <w:sz w:val="22"/>
          <w:szCs w:val="22"/>
          <w:highlight w:val="yellow"/>
        </w:rPr>
        <w:t xml:space="preserve"> </w:t>
      </w:r>
      <w:r w:rsidR="003614CE">
        <w:rPr>
          <w:sz w:val="22"/>
          <w:szCs w:val="22"/>
          <w:highlight w:val="yellow"/>
        </w:rPr>
        <w:t xml:space="preserve">an </w:t>
      </w:r>
      <w:r w:rsidRPr="005E664E">
        <w:rPr>
          <w:sz w:val="22"/>
          <w:szCs w:val="22"/>
          <w:highlight w:val="yellow"/>
        </w:rPr>
        <w:t xml:space="preserve">overview of </w:t>
      </w:r>
      <w:r w:rsidR="003614CE">
        <w:rPr>
          <w:sz w:val="22"/>
          <w:szCs w:val="22"/>
          <w:highlight w:val="yellow"/>
        </w:rPr>
        <w:t xml:space="preserve">the </w:t>
      </w:r>
      <w:r w:rsidRPr="005E664E">
        <w:rPr>
          <w:sz w:val="22"/>
          <w:szCs w:val="22"/>
          <w:highlight w:val="yellow"/>
        </w:rPr>
        <w:t xml:space="preserve">observed readings and measurements such as the return air temperature, supply air temperature, set-points, relative humidity, </w:t>
      </w:r>
      <w:r w:rsidR="00B215CA">
        <w:rPr>
          <w:sz w:val="22"/>
          <w:szCs w:val="22"/>
          <w:highlight w:val="yellow"/>
        </w:rPr>
        <w:t>chilled water, etc.</w:t>
      </w:r>
    </w:p>
    <w:p w14:paraId="122142CE" w14:textId="77777777" w:rsidR="00B215CA" w:rsidRDefault="00B215CA" w:rsidP="0004416E">
      <w:pPr>
        <w:rPr>
          <w:sz w:val="22"/>
          <w:szCs w:val="22"/>
          <w:highlight w:val="yellow"/>
        </w:rPr>
      </w:pPr>
    </w:p>
    <w:p w14:paraId="210C98FA" w14:textId="6FAF689A" w:rsidR="00B215CA" w:rsidRPr="00C8639A" w:rsidRDefault="00FC3C2A" w:rsidP="0004416E">
      <w:pPr>
        <w:rPr>
          <w:sz w:val="22"/>
          <w:szCs w:val="22"/>
        </w:rPr>
      </w:pPr>
      <w:r w:rsidRPr="00C8639A">
        <w:rPr>
          <w:sz w:val="22"/>
          <w:szCs w:val="22"/>
        </w:rPr>
        <w:t>See</w:t>
      </w:r>
      <w:r w:rsidR="002707B4">
        <w:rPr>
          <w:sz w:val="22"/>
          <w:szCs w:val="22"/>
        </w:rPr>
        <w:t xml:space="preserve"> Table </w:t>
      </w:r>
      <w:r w:rsidR="002707B4" w:rsidRPr="002707B4">
        <w:rPr>
          <w:sz w:val="22"/>
          <w:szCs w:val="22"/>
          <w:highlight w:val="yellow"/>
        </w:rPr>
        <w:t>4</w:t>
      </w:r>
      <w:r w:rsidR="002707B4">
        <w:rPr>
          <w:sz w:val="22"/>
          <w:szCs w:val="22"/>
        </w:rPr>
        <w:t xml:space="preserve"> for </w:t>
      </w:r>
      <w:r w:rsidR="00460E33" w:rsidRPr="00460E33">
        <w:rPr>
          <w:sz w:val="22"/>
          <w:szCs w:val="22"/>
        </w:rPr>
        <w:t>ASHRAE</w:t>
      </w:r>
      <w:r w:rsidR="0055192E">
        <w:rPr>
          <w:sz w:val="22"/>
          <w:szCs w:val="22"/>
        </w:rPr>
        <w:t>’s recommended and allowable temperature and h</w:t>
      </w:r>
      <w:r w:rsidR="00460E33" w:rsidRPr="00460E33">
        <w:rPr>
          <w:sz w:val="22"/>
          <w:szCs w:val="22"/>
        </w:rPr>
        <w:t>umidity</w:t>
      </w:r>
      <w:r w:rsidR="0055192E">
        <w:rPr>
          <w:sz w:val="22"/>
          <w:szCs w:val="22"/>
        </w:rPr>
        <w:t xml:space="preserve"> ranges for IT inlet a</w:t>
      </w:r>
      <w:r w:rsidR="00460E33" w:rsidRPr="00460E33">
        <w:rPr>
          <w:sz w:val="22"/>
          <w:szCs w:val="22"/>
        </w:rPr>
        <w:t>ir</w:t>
      </w:r>
      <w:r w:rsidR="00460E33">
        <w:rPr>
          <w:sz w:val="22"/>
          <w:szCs w:val="22"/>
        </w:rPr>
        <w:t xml:space="preserve">. Also see </w:t>
      </w:r>
      <w:r w:rsidRPr="00C8639A">
        <w:rPr>
          <w:sz w:val="22"/>
          <w:szCs w:val="22"/>
        </w:rPr>
        <w:t xml:space="preserve">EEMS </w:t>
      </w:r>
      <w:r w:rsidRPr="00C8639A">
        <w:rPr>
          <w:sz w:val="22"/>
          <w:szCs w:val="22"/>
          <w:highlight w:val="yellow"/>
        </w:rPr>
        <w:t>x</w:t>
      </w:r>
      <w:r w:rsidRPr="00C8639A">
        <w:rPr>
          <w:sz w:val="22"/>
          <w:szCs w:val="22"/>
        </w:rPr>
        <w:t xml:space="preserve"> and </w:t>
      </w:r>
      <w:r w:rsidRPr="00C8639A">
        <w:rPr>
          <w:sz w:val="22"/>
          <w:szCs w:val="22"/>
          <w:highlight w:val="yellow"/>
        </w:rPr>
        <w:t>x</w:t>
      </w:r>
      <w:r w:rsidR="00B215CA" w:rsidRPr="00C8639A">
        <w:rPr>
          <w:sz w:val="22"/>
          <w:szCs w:val="22"/>
        </w:rPr>
        <w:t xml:space="preserve"> for recommend</w:t>
      </w:r>
      <w:r w:rsidR="00D875A3" w:rsidRPr="00C8639A">
        <w:rPr>
          <w:sz w:val="22"/>
          <w:szCs w:val="22"/>
        </w:rPr>
        <w:t>ation</w:t>
      </w:r>
      <w:r w:rsidR="002707B4">
        <w:rPr>
          <w:sz w:val="22"/>
          <w:szCs w:val="22"/>
        </w:rPr>
        <w:t>s related to the cooling system.</w:t>
      </w:r>
    </w:p>
    <w:p w14:paraId="148D4D92" w14:textId="77777777" w:rsidR="005950F9" w:rsidRDefault="005950F9">
      <w:pPr>
        <w:rPr>
          <w:sz w:val="22"/>
          <w:szCs w:val="22"/>
          <w:highlight w:val="yellow"/>
        </w:rPr>
      </w:pPr>
      <w:r>
        <w:rPr>
          <w:sz w:val="22"/>
          <w:szCs w:val="22"/>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53"/>
        <w:gridCol w:w="1756"/>
        <w:gridCol w:w="1684"/>
        <w:gridCol w:w="1661"/>
        <w:gridCol w:w="1692"/>
      </w:tblGrid>
      <w:tr w:rsidR="00154EC6" w:rsidRPr="00B6311D" w14:paraId="44692C69" w14:textId="77777777" w:rsidTr="004D23F8">
        <w:trPr>
          <w:trHeight w:val="800"/>
        </w:trPr>
        <w:tc>
          <w:tcPr>
            <w:tcW w:w="0" w:type="auto"/>
            <w:vAlign w:val="center"/>
          </w:tcPr>
          <w:p w14:paraId="4EC9E757" w14:textId="77777777" w:rsidR="00154EC6" w:rsidRPr="00B6311D" w:rsidRDefault="00154EC6" w:rsidP="004D23F8">
            <w:pPr>
              <w:ind w:left="270"/>
              <w:rPr>
                <w:b/>
                <w:sz w:val="22"/>
                <w:szCs w:val="22"/>
              </w:rPr>
            </w:pPr>
            <w:bookmarkStart w:id="7" w:name="_GoBack" w:colFirst="6" w:colLast="6"/>
            <w:r w:rsidRPr="00B6311D">
              <w:rPr>
                <w:b/>
                <w:sz w:val="22"/>
                <w:szCs w:val="22"/>
              </w:rPr>
              <w:t>Class</w:t>
            </w:r>
          </w:p>
        </w:tc>
        <w:tc>
          <w:tcPr>
            <w:tcW w:w="0" w:type="auto"/>
            <w:vAlign w:val="center"/>
          </w:tcPr>
          <w:p w14:paraId="32BCDB8F" w14:textId="77777777" w:rsidR="00154EC6" w:rsidRPr="00B6311D" w:rsidRDefault="00154EC6" w:rsidP="004D23F8">
            <w:pPr>
              <w:ind w:left="270"/>
              <w:rPr>
                <w:b/>
                <w:sz w:val="22"/>
                <w:szCs w:val="22"/>
              </w:rPr>
            </w:pPr>
            <w:r w:rsidRPr="00B6311D">
              <w:rPr>
                <w:b/>
                <w:sz w:val="22"/>
                <w:szCs w:val="22"/>
              </w:rPr>
              <w:t>Dry Bulb (°F)</w:t>
            </w:r>
          </w:p>
        </w:tc>
        <w:tc>
          <w:tcPr>
            <w:tcW w:w="0" w:type="auto"/>
            <w:vAlign w:val="center"/>
          </w:tcPr>
          <w:p w14:paraId="123FC675" w14:textId="77777777" w:rsidR="00154EC6" w:rsidRPr="00B6311D" w:rsidRDefault="00154EC6" w:rsidP="004D23F8">
            <w:pPr>
              <w:ind w:left="270"/>
              <w:rPr>
                <w:b/>
                <w:sz w:val="22"/>
                <w:szCs w:val="22"/>
              </w:rPr>
            </w:pPr>
            <w:r w:rsidRPr="00B6311D">
              <w:rPr>
                <w:b/>
                <w:sz w:val="22"/>
                <w:szCs w:val="22"/>
              </w:rPr>
              <w:t>Humidity Range</w:t>
            </w:r>
          </w:p>
        </w:tc>
        <w:tc>
          <w:tcPr>
            <w:tcW w:w="0" w:type="auto"/>
            <w:vAlign w:val="center"/>
          </w:tcPr>
          <w:p w14:paraId="33AD3140" w14:textId="77777777" w:rsidR="00154EC6" w:rsidRPr="00B6311D" w:rsidRDefault="00154EC6" w:rsidP="004D23F8">
            <w:pPr>
              <w:ind w:left="270"/>
              <w:rPr>
                <w:b/>
                <w:sz w:val="22"/>
                <w:szCs w:val="22"/>
              </w:rPr>
            </w:pPr>
            <w:r w:rsidRPr="00B6311D">
              <w:rPr>
                <w:b/>
                <w:sz w:val="22"/>
                <w:szCs w:val="22"/>
              </w:rPr>
              <w:t>Maximum Dew Point (°F)</w:t>
            </w:r>
          </w:p>
        </w:tc>
        <w:tc>
          <w:tcPr>
            <w:tcW w:w="0" w:type="auto"/>
            <w:vAlign w:val="center"/>
          </w:tcPr>
          <w:p w14:paraId="16472750" w14:textId="77777777" w:rsidR="00154EC6" w:rsidRPr="00B6311D" w:rsidRDefault="00154EC6" w:rsidP="004D23F8">
            <w:pPr>
              <w:ind w:left="270"/>
              <w:rPr>
                <w:b/>
                <w:sz w:val="22"/>
                <w:szCs w:val="22"/>
              </w:rPr>
            </w:pPr>
            <w:r w:rsidRPr="00B6311D">
              <w:rPr>
                <w:b/>
                <w:sz w:val="22"/>
                <w:szCs w:val="22"/>
              </w:rPr>
              <w:t>Maximum Elevation (ft)</w:t>
            </w:r>
          </w:p>
        </w:tc>
        <w:tc>
          <w:tcPr>
            <w:tcW w:w="0" w:type="auto"/>
            <w:vAlign w:val="center"/>
          </w:tcPr>
          <w:p w14:paraId="42BBF158" w14:textId="77777777" w:rsidR="00154EC6" w:rsidRPr="00B6311D" w:rsidRDefault="00154EC6" w:rsidP="004D23F8">
            <w:pPr>
              <w:ind w:left="270"/>
              <w:rPr>
                <w:b/>
                <w:sz w:val="22"/>
                <w:szCs w:val="22"/>
              </w:rPr>
            </w:pPr>
            <w:r w:rsidRPr="00B6311D">
              <w:rPr>
                <w:b/>
                <w:sz w:val="22"/>
                <w:szCs w:val="22"/>
              </w:rPr>
              <w:t>Maximum Rate of Change</w:t>
            </w:r>
          </w:p>
          <w:p w14:paraId="3F26892C" w14:textId="77777777" w:rsidR="00154EC6" w:rsidRPr="00B6311D" w:rsidRDefault="00154EC6" w:rsidP="004D23F8">
            <w:pPr>
              <w:ind w:left="270"/>
              <w:rPr>
                <w:b/>
                <w:sz w:val="22"/>
                <w:szCs w:val="22"/>
              </w:rPr>
            </w:pPr>
            <w:r w:rsidRPr="00B6311D">
              <w:rPr>
                <w:b/>
                <w:sz w:val="22"/>
                <w:szCs w:val="22"/>
              </w:rPr>
              <w:t>(°F/hr)</w:t>
            </w:r>
          </w:p>
        </w:tc>
      </w:tr>
      <w:tr w:rsidR="00154EC6" w:rsidRPr="005A4C46" w14:paraId="601BE0BD" w14:textId="77777777" w:rsidTr="004D23F8">
        <w:trPr>
          <w:trHeight w:val="143"/>
        </w:trPr>
        <w:tc>
          <w:tcPr>
            <w:tcW w:w="0" w:type="auto"/>
            <w:gridSpan w:val="6"/>
            <w:vAlign w:val="center"/>
          </w:tcPr>
          <w:p w14:paraId="11D9804E" w14:textId="77777777" w:rsidR="00154EC6" w:rsidRPr="00B6311D" w:rsidRDefault="00154EC6" w:rsidP="004D23F8">
            <w:pPr>
              <w:ind w:left="270"/>
              <w:rPr>
                <w:b/>
                <w:sz w:val="22"/>
                <w:szCs w:val="22"/>
              </w:rPr>
            </w:pPr>
            <w:r w:rsidRPr="00B6311D">
              <w:rPr>
                <w:b/>
                <w:sz w:val="22"/>
                <w:szCs w:val="22"/>
              </w:rPr>
              <w:t>Recommended</w:t>
            </w:r>
          </w:p>
        </w:tc>
      </w:tr>
      <w:tr w:rsidR="00154EC6" w:rsidRPr="005A4C46" w14:paraId="1C6840F8" w14:textId="77777777" w:rsidTr="004D23F8">
        <w:trPr>
          <w:trHeight w:val="224"/>
        </w:trPr>
        <w:tc>
          <w:tcPr>
            <w:tcW w:w="0" w:type="auto"/>
            <w:vAlign w:val="center"/>
          </w:tcPr>
          <w:p w14:paraId="2889998A" w14:textId="77777777" w:rsidR="00154EC6" w:rsidRPr="00B6311D" w:rsidRDefault="00154EC6" w:rsidP="004D23F8">
            <w:pPr>
              <w:ind w:left="270"/>
              <w:jc w:val="center"/>
              <w:rPr>
                <w:sz w:val="18"/>
                <w:szCs w:val="18"/>
              </w:rPr>
            </w:pPr>
            <w:r w:rsidRPr="00B6311D">
              <w:rPr>
                <w:sz w:val="18"/>
                <w:szCs w:val="18"/>
              </w:rPr>
              <w:t>A1 to A4</w:t>
            </w:r>
          </w:p>
        </w:tc>
        <w:tc>
          <w:tcPr>
            <w:tcW w:w="0" w:type="auto"/>
            <w:vAlign w:val="center"/>
          </w:tcPr>
          <w:p w14:paraId="41D405AB" w14:textId="77777777" w:rsidR="00154EC6" w:rsidRPr="00B6311D" w:rsidRDefault="00154EC6" w:rsidP="004D23F8">
            <w:pPr>
              <w:ind w:left="270"/>
              <w:jc w:val="center"/>
              <w:rPr>
                <w:sz w:val="18"/>
                <w:szCs w:val="18"/>
              </w:rPr>
            </w:pPr>
            <w:r w:rsidRPr="00B6311D">
              <w:rPr>
                <w:sz w:val="18"/>
                <w:szCs w:val="18"/>
              </w:rPr>
              <w:t>64.4 to 80.6</w:t>
            </w:r>
          </w:p>
        </w:tc>
        <w:tc>
          <w:tcPr>
            <w:tcW w:w="0" w:type="auto"/>
            <w:vAlign w:val="center"/>
          </w:tcPr>
          <w:p w14:paraId="7DEA5659" w14:textId="77777777" w:rsidR="00154EC6" w:rsidRDefault="00154EC6" w:rsidP="004D23F8">
            <w:pPr>
              <w:ind w:left="270"/>
              <w:jc w:val="center"/>
              <w:rPr>
                <w:sz w:val="18"/>
                <w:szCs w:val="18"/>
              </w:rPr>
            </w:pPr>
            <w:r w:rsidRPr="00B6311D">
              <w:rPr>
                <w:sz w:val="18"/>
                <w:szCs w:val="18"/>
              </w:rPr>
              <w:t>15.8°F DP</w:t>
            </w:r>
            <w:r>
              <w:rPr>
                <w:sz w:val="18"/>
                <w:szCs w:val="18"/>
              </w:rPr>
              <w:t xml:space="preserve"> </w:t>
            </w:r>
          </w:p>
          <w:p w14:paraId="21FF7D62" w14:textId="77777777" w:rsidR="00154EC6" w:rsidRPr="00B6311D" w:rsidRDefault="00154EC6" w:rsidP="004D23F8">
            <w:pPr>
              <w:ind w:left="270"/>
              <w:jc w:val="center"/>
              <w:rPr>
                <w:sz w:val="18"/>
                <w:szCs w:val="18"/>
              </w:rPr>
            </w:pPr>
            <w:r>
              <w:rPr>
                <w:sz w:val="18"/>
                <w:szCs w:val="18"/>
              </w:rPr>
              <w:t>to</w:t>
            </w:r>
            <w:r w:rsidRPr="00B6311D">
              <w:rPr>
                <w:sz w:val="18"/>
                <w:szCs w:val="18"/>
              </w:rPr>
              <w:t xml:space="preserve"> 59</w:t>
            </w:r>
            <w:r w:rsidRPr="00B6311D">
              <w:rPr>
                <w:b/>
                <w:sz w:val="18"/>
                <w:szCs w:val="18"/>
              </w:rPr>
              <w:t>°</w:t>
            </w:r>
            <w:r w:rsidRPr="00B6311D">
              <w:rPr>
                <w:sz w:val="18"/>
                <w:szCs w:val="18"/>
              </w:rPr>
              <w:t>F DP</w:t>
            </w:r>
            <w:r>
              <w:rPr>
                <w:sz w:val="18"/>
                <w:szCs w:val="18"/>
              </w:rPr>
              <w:t xml:space="preserve"> and </w:t>
            </w:r>
            <w:r w:rsidRPr="00B6311D">
              <w:rPr>
                <w:sz w:val="18"/>
                <w:szCs w:val="18"/>
              </w:rPr>
              <w:t>60% RH</w:t>
            </w:r>
          </w:p>
        </w:tc>
        <w:tc>
          <w:tcPr>
            <w:tcW w:w="0" w:type="auto"/>
            <w:gridSpan w:val="3"/>
            <w:vAlign w:val="center"/>
          </w:tcPr>
          <w:p w14:paraId="6179E58D" w14:textId="77777777" w:rsidR="00154EC6" w:rsidRPr="00B6311D" w:rsidRDefault="00154EC6" w:rsidP="004D23F8">
            <w:pPr>
              <w:ind w:left="270"/>
              <w:jc w:val="center"/>
              <w:rPr>
                <w:sz w:val="18"/>
                <w:szCs w:val="18"/>
              </w:rPr>
            </w:pPr>
            <w:r w:rsidRPr="00B6311D">
              <w:rPr>
                <w:sz w:val="18"/>
                <w:szCs w:val="18"/>
              </w:rPr>
              <w:t>N/A</w:t>
            </w:r>
          </w:p>
        </w:tc>
      </w:tr>
      <w:tr w:rsidR="00154EC6" w:rsidRPr="005A4C46" w14:paraId="6AD45CEE" w14:textId="77777777" w:rsidTr="004D23F8">
        <w:trPr>
          <w:trHeight w:val="152"/>
        </w:trPr>
        <w:tc>
          <w:tcPr>
            <w:tcW w:w="0" w:type="auto"/>
            <w:gridSpan w:val="6"/>
            <w:vAlign w:val="center"/>
          </w:tcPr>
          <w:p w14:paraId="66912F67" w14:textId="77777777" w:rsidR="00154EC6" w:rsidRPr="00571313" w:rsidRDefault="00154EC6" w:rsidP="004D23F8">
            <w:pPr>
              <w:ind w:left="270"/>
              <w:rPr>
                <w:sz w:val="22"/>
                <w:szCs w:val="22"/>
              </w:rPr>
            </w:pPr>
            <w:r w:rsidRPr="00571313">
              <w:rPr>
                <w:b/>
                <w:sz w:val="22"/>
                <w:szCs w:val="22"/>
              </w:rPr>
              <w:t>Allowable</w:t>
            </w:r>
          </w:p>
        </w:tc>
      </w:tr>
      <w:tr w:rsidR="00154EC6" w:rsidRPr="005A4C46" w14:paraId="4EB49B9B" w14:textId="77777777" w:rsidTr="004D23F8">
        <w:trPr>
          <w:trHeight w:val="323"/>
        </w:trPr>
        <w:tc>
          <w:tcPr>
            <w:tcW w:w="0" w:type="auto"/>
            <w:vAlign w:val="center"/>
          </w:tcPr>
          <w:p w14:paraId="6FFE007B" w14:textId="77777777" w:rsidR="00154EC6" w:rsidRPr="00B6311D" w:rsidRDefault="00154EC6" w:rsidP="004D23F8">
            <w:pPr>
              <w:ind w:left="270"/>
              <w:jc w:val="center"/>
              <w:rPr>
                <w:sz w:val="18"/>
                <w:szCs w:val="18"/>
              </w:rPr>
            </w:pPr>
            <w:r w:rsidRPr="00B6311D">
              <w:rPr>
                <w:sz w:val="18"/>
                <w:szCs w:val="18"/>
              </w:rPr>
              <w:t>A1</w:t>
            </w:r>
          </w:p>
        </w:tc>
        <w:tc>
          <w:tcPr>
            <w:tcW w:w="0" w:type="auto"/>
            <w:vAlign w:val="center"/>
          </w:tcPr>
          <w:p w14:paraId="7E656FC8" w14:textId="77777777" w:rsidR="00154EC6" w:rsidRPr="00B6311D" w:rsidRDefault="00154EC6" w:rsidP="004D23F8">
            <w:pPr>
              <w:ind w:left="270"/>
              <w:jc w:val="center"/>
              <w:rPr>
                <w:sz w:val="18"/>
                <w:szCs w:val="18"/>
              </w:rPr>
            </w:pPr>
            <w:r w:rsidRPr="00B6311D">
              <w:rPr>
                <w:sz w:val="18"/>
                <w:szCs w:val="18"/>
              </w:rPr>
              <w:t>59 to 89.6</w:t>
            </w:r>
          </w:p>
        </w:tc>
        <w:tc>
          <w:tcPr>
            <w:tcW w:w="0" w:type="auto"/>
            <w:vAlign w:val="center"/>
          </w:tcPr>
          <w:p w14:paraId="147E4AAA" w14:textId="77777777" w:rsidR="00154EC6" w:rsidRPr="00B6311D" w:rsidRDefault="00154EC6" w:rsidP="004D23F8">
            <w:pPr>
              <w:ind w:left="270"/>
              <w:jc w:val="center"/>
              <w:rPr>
                <w:sz w:val="18"/>
                <w:szCs w:val="18"/>
              </w:rPr>
            </w:pPr>
            <w:r>
              <w:rPr>
                <w:sz w:val="18"/>
                <w:szCs w:val="18"/>
              </w:rPr>
              <w:t>10.4</w:t>
            </w:r>
            <w:r w:rsidRPr="00B6311D">
              <w:rPr>
                <w:sz w:val="18"/>
                <w:szCs w:val="18"/>
              </w:rPr>
              <w:t xml:space="preserve">°F DP and 8% RH to </w:t>
            </w:r>
            <w:r>
              <w:rPr>
                <w:sz w:val="18"/>
                <w:szCs w:val="18"/>
              </w:rPr>
              <w:t>62</w:t>
            </w:r>
            <w:r w:rsidRPr="00B6311D">
              <w:rPr>
                <w:sz w:val="18"/>
                <w:szCs w:val="18"/>
              </w:rPr>
              <w:t>.6°F DP and 80% RH</w:t>
            </w:r>
          </w:p>
        </w:tc>
        <w:tc>
          <w:tcPr>
            <w:tcW w:w="0" w:type="auto"/>
            <w:vAlign w:val="center"/>
          </w:tcPr>
          <w:p w14:paraId="4C030ABD" w14:textId="77777777" w:rsidR="00154EC6" w:rsidRPr="00B6311D" w:rsidRDefault="00154EC6" w:rsidP="004D23F8">
            <w:pPr>
              <w:ind w:left="270"/>
              <w:jc w:val="center"/>
              <w:rPr>
                <w:sz w:val="18"/>
                <w:szCs w:val="18"/>
              </w:rPr>
            </w:pPr>
            <w:r w:rsidRPr="00B6311D">
              <w:rPr>
                <w:sz w:val="18"/>
                <w:szCs w:val="18"/>
              </w:rPr>
              <w:t>62.6</w:t>
            </w:r>
          </w:p>
        </w:tc>
        <w:tc>
          <w:tcPr>
            <w:tcW w:w="0" w:type="auto"/>
            <w:vAlign w:val="center"/>
          </w:tcPr>
          <w:p w14:paraId="2BBFCA3B" w14:textId="77777777" w:rsidR="00154EC6" w:rsidRPr="00B6311D" w:rsidRDefault="00154EC6" w:rsidP="004D23F8">
            <w:pPr>
              <w:ind w:left="270"/>
              <w:jc w:val="center"/>
              <w:rPr>
                <w:sz w:val="18"/>
                <w:szCs w:val="18"/>
              </w:rPr>
            </w:pPr>
            <w:r w:rsidRPr="00B6311D">
              <w:rPr>
                <w:sz w:val="18"/>
                <w:szCs w:val="18"/>
              </w:rPr>
              <w:t>10,000</w:t>
            </w:r>
          </w:p>
        </w:tc>
        <w:tc>
          <w:tcPr>
            <w:tcW w:w="0" w:type="auto"/>
            <w:vAlign w:val="center"/>
          </w:tcPr>
          <w:p w14:paraId="77BDFD8A" w14:textId="77777777" w:rsidR="00154EC6" w:rsidRPr="00B6311D" w:rsidRDefault="00154EC6" w:rsidP="004D23F8">
            <w:pPr>
              <w:ind w:left="270"/>
              <w:jc w:val="center"/>
              <w:rPr>
                <w:sz w:val="18"/>
                <w:szCs w:val="18"/>
              </w:rPr>
            </w:pPr>
            <w:r w:rsidRPr="00B6311D">
              <w:rPr>
                <w:sz w:val="18"/>
                <w:szCs w:val="18"/>
              </w:rPr>
              <w:t>9*/36</w:t>
            </w:r>
          </w:p>
        </w:tc>
      </w:tr>
      <w:tr w:rsidR="00154EC6" w:rsidRPr="005A4C46" w14:paraId="13BC3A38" w14:textId="77777777" w:rsidTr="004D23F8">
        <w:trPr>
          <w:trHeight w:val="206"/>
        </w:trPr>
        <w:tc>
          <w:tcPr>
            <w:tcW w:w="0" w:type="auto"/>
            <w:vAlign w:val="center"/>
          </w:tcPr>
          <w:p w14:paraId="01C2688C" w14:textId="77777777" w:rsidR="00154EC6" w:rsidRPr="00B6311D" w:rsidRDefault="00154EC6" w:rsidP="004D23F8">
            <w:pPr>
              <w:ind w:left="270"/>
              <w:jc w:val="center"/>
              <w:rPr>
                <w:sz w:val="18"/>
                <w:szCs w:val="18"/>
              </w:rPr>
            </w:pPr>
            <w:r w:rsidRPr="00B6311D">
              <w:rPr>
                <w:sz w:val="18"/>
                <w:szCs w:val="18"/>
              </w:rPr>
              <w:t>A2</w:t>
            </w:r>
          </w:p>
        </w:tc>
        <w:tc>
          <w:tcPr>
            <w:tcW w:w="0" w:type="auto"/>
            <w:vAlign w:val="center"/>
          </w:tcPr>
          <w:p w14:paraId="1A31712B" w14:textId="77777777" w:rsidR="00154EC6" w:rsidRPr="00B6311D" w:rsidRDefault="00154EC6" w:rsidP="004D23F8">
            <w:pPr>
              <w:ind w:left="270"/>
              <w:jc w:val="center"/>
              <w:rPr>
                <w:sz w:val="18"/>
                <w:szCs w:val="18"/>
              </w:rPr>
            </w:pPr>
            <w:r w:rsidRPr="00B6311D">
              <w:rPr>
                <w:sz w:val="18"/>
                <w:szCs w:val="18"/>
              </w:rPr>
              <w:t>50 to 95</w:t>
            </w:r>
          </w:p>
        </w:tc>
        <w:tc>
          <w:tcPr>
            <w:tcW w:w="0" w:type="auto"/>
            <w:vAlign w:val="center"/>
          </w:tcPr>
          <w:p w14:paraId="75CF3BD6" w14:textId="77777777" w:rsidR="00154EC6" w:rsidRPr="00B6311D" w:rsidRDefault="00154EC6" w:rsidP="004D23F8">
            <w:pPr>
              <w:ind w:left="270"/>
              <w:jc w:val="center"/>
              <w:rPr>
                <w:sz w:val="18"/>
                <w:szCs w:val="18"/>
              </w:rPr>
            </w:pPr>
            <w:r w:rsidRPr="00B6311D">
              <w:rPr>
                <w:sz w:val="18"/>
                <w:szCs w:val="18"/>
              </w:rPr>
              <w:t xml:space="preserve">10.4°F DP and 8% RH to </w:t>
            </w:r>
            <w:r>
              <w:rPr>
                <w:sz w:val="18"/>
                <w:szCs w:val="18"/>
              </w:rPr>
              <w:t>69.8</w:t>
            </w:r>
            <w:r w:rsidRPr="00B6311D">
              <w:rPr>
                <w:sz w:val="18"/>
                <w:szCs w:val="18"/>
              </w:rPr>
              <w:t>°F DP and 80% RH</w:t>
            </w:r>
          </w:p>
        </w:tc>
        <w:tc>
          <w:tcPr>
            <w:tcW w:w="0" w:type="auto"/>
            <w:vAlign w:val="center"/>
          </w:tcPr>
          <w:p w14:paraId="2A3780F2" w14:textId="77777777" w:rsidR="00154EC6" w:rsidRPr="00B6311D" w:rsidRDefault="00154EC6" w:rsidP="004D23F8">
            <w:pPr>
              <w:ind w:left="270"/>
              <w:jc w:val="center"/>
              <w:rPr>
                <w:sz w:val="18"/>
                <w:szCs w:val="18"/>
              </w:rPr>
            </w:pPr>
            <w:r w:rsidRPr="00B6311D">
              <w:rPr>
                <w:sz w:val="18"/>
                <w:szCs w:val="18"/>
              </w:rPr>
              <w:t>69.8</w:t>
            </w:r>
          </w:p>
        </w:tc>
        <w:tc>
          <w:tcPr>
            <w:tcW w:w="0" w:type="auto"/>
            <w:vAlign w:val="center"/>
          </w:tcPr>
          <w:p w14:paraId="2E5A95AA" w14:textId="77777777" w:rsidR="00154EC6" w:rsidRPr="00B6311D" w:rsidRDefault="00154EC6" w:rsidP="004D23F8">
            <w:pPr>
              <w:ind w:left="270"/>
              <w:jc w:val="center"/>
              <w:rPr>
                <w:sz w:val="18"/>
                <w:szCs w:val="18"/>
              </w:rPr>
            </w:pPr>
            <w:r w:rsidRPr="00B6311D">
              <w:rPr>
                <w:sz w:val="18"/>
                <w:szCs w:val="18"/>
              </w:rPr>
              <w:t>10,000</w:t>
            </w:r>
          </w:p>
        </w:tc>
        <w:tc>
          <w:tcPr>
            <w:tcW w:w="0" w:type="auto"/>
            <w:vAlign w:val="center"/>
          </w:tcPr>
          <w:p w14:paraId="642C54C0" w14:textId="77777777" w:rsidR="00154EC6" w:rsidRPr="00B6311D" w:rsidRDefault="00154EC6" w:rsidP="004D23F8">
            <w:pPr>
              <w:ind w:left="270"/>
              <w:jc w:val="center"/>
              <w:rPr>
                <w:sz w:val="18"/>
                <w:szCs w:val="18"/>
              </w:rPr>
            </w:pPr>
            <w:r w:rsidRPr="00B6311D">
              <w:rPr>
                <w:sz w:val="18"/>
                <w:szCs w:val="18"/>
              </w:rPr>
              <w:t>9*/36</w:t>
            </w:r>
          </w:p>
        </w:tc>
      </w:tr>
      <w:tr w:rsidR="00154EC6" w:rsidRPr="005A4C46" w14:paraId="11CB28DF" w14:textId="77777777" w:rsidTr="004D23F8">
        <w:trPr>
          <w:trHeight w:val="98"/>
        </w:trPr>
        <w:tc>
          <w:tcPr>
            <w:tcW w:w="0" w:type="auto"/>
            <w:vAlign w:val="center"/>
          </w:tcPr>
          <w:p w14:paraId="37124279" w14:textId="77777777" w:rsidR="00154EC6" w:rsidRPr="00B6311D" w:rsidRDefault="00154EC6" w:rsidP="004D23F8">
            <w:pPr>
              <w:ind w:left="270"/>
              <w:jc w:val="center"/>
              <w:rPr>
                <w:sz w:val="18"/>
                <w:szCs w:val="18"/>
              </w:rPr>
            </w:pPr>
            <w:r w:rsidRPr="00B6311D">
              <w:rPr>
                <w:sz w:val="18"/>
                <w:szCs w:val="18"/>
              </w:rPr>
              <w:t>A3</w:t>
            </w:r>
          </w:p>
        </w:tc>
        <w:tc>
          <w:tcPr>
            <w:tcW w:w="0" w:type="auto"/>
            <w:vAlign w:val="center"/>
          </w:tcPr>
          <w:p w14:paraId="528CE469" w14:textId="77777777" w:rsidR="00154EC6" w:rsidRPr="00B6311D" w:rsidRDefault="00154EC6" w:rsidP="004D23F8">
            <w:pPr>
              <w:ind w:left="270"/>
              <w:jc w:val="center"/>
              <w:rPr>
                <w:sz w:val="18"/>
                <w:szCs w:val="18"/>
              </w:rPr>
            </w:pPr>
            <w:r w:rsidRPr="00B6311D">
              <w:rPr>
                <w:sz w:val="18"/>
                <w:szCs w:val="18"/>
              </w:rPr>
              <w:t>41 to 104</w:t>
            </w:r>
          </w:p>
        </w:tc>
        <w:tc>
          <w:tcPr>
            <w:tcW w:w="0" w:type="auto"/>
            <w:vAlign w:val="center"/>
          </w:tcPr>
          <w:p w14:paraId="022382CA" w14:textId="77777777" w:rsidR="00154EC6" w:rsidRPr="00B6311D" w:rsidRDefault="00154EC6" w:rsidP="004D23F8">
            <w:pPr>
              <w:ind w:left="270"/>
              <w:jc w:val="center"/>
              <w:rPr>
                <w:sz w:val="18"/>
                <w:szCs w:val="18"/>
              </w:rPr>
            </w:pPr>
            <w:r w:rsidRPr="00B6311D">
              <w:rPr>
                <w:sz w:val="18"/>
                <w:szCs w:val="18"/>
              </w:rPr>
              <w:t xml:space="preserve">10.4°F and 8% RH to </w:t>
            </w:r>
            <w:r>
              <w:rPr>
                <w:sz w:val="18"/>
                <w:szCs w:val="18"/>
              </w:rPr>
              <w:t>75.2</w:t>
            </w:r>
            <w:r w:rsidRPr="00B6311D">
              <w:rPr>
                <w:sz w:val="18"/>
                <w:szCs w:val="18"/>
              </w:rPr>
              <w:t>°F DP and 85% RH</w:t>
            </w:r>
          </w:p>
        </w:tc>
        <w:tc>
          <w:tcPr>
            <w:tcW w:w="0" w:type="auto"/>
            <w:vAlign w:val="center"/>
          </w:tcPr>
          <w:p w14:paraId="275D2F6A" w14:textId="77777777" w:rsidR="00154EC6" w:rsidRPr="00B6311D" w:rsidRDefault="00154EC6" w:rsidP="004D23F8">
            <w:pPr>
              <w:ind w:left="270"/>
              <w:jc w:val="center"/>
              <w:rPr>
                <w:sz w:val="18"/>
                <w:szCs w:val="18"/>
              </w:rPr>
            </w:pPr>
            <w:r w:rsidRPr="00B6311D">
              <w:rPr>
                <w:sz w:val="18"/>
                <w:szCs w:val="18"/>
              </w:rPr>
              <w:t>75.2</w:t>
            </w:r>
          </w:p>
        </w:tc>
        <w:tc>
          <w:tcPr>
            <w:tcW w:w="0" w:type="auto"/>
            <w:vAlign w:val="center"/>
          </w:tcPr>
          <w:p w14:paraId="3CF0B98C" w14:textId="77777777" w:rsidR="00154EC6" w:rsidRPr="00B6311D" w:rsidRDefault="00154EC6" w:rsidP="004D23F8">
            <w:pPr>
              <w:ind w:left="270"/>
              <w:jc w:val="center"/>
              <w:rPr>
                <w:sz w:val="18"/>
                <w:szCs w:val="18"/>
              </w:rPr>
            </w:pPr>
            <w:r w:rsidRPr="00B6311D">
              <w:rPr>
                <w:sz w:val="18"/>
                <w:szCs w:val="18"/>
              </w:rPr>
              <w:t>10,000</w:t>
            </w:r>
          </w:p>
        </w:tc>
        <w:tc>
          <w:tcPr>
            <w:tcW w:w="0" w:type="auto"/>
            <w:vAlign w:val="center"/>
          </w:tcPr>
          <w:p w14:paraId="7A0AF7A3" w14:textId="77777777" w:rsidR="00154EC6" w:rsidRPr="00B6311D" w:rsidRDefault="00154EC6" w:rsidP="004D23F8">
            <w:pPr>
              <w:ind w:left="270"/>
              <w:jc w:val="center"/>
              <w:rPr>
                <w:sz w:val="18"/>
                <w:szCs w:val="18"/>
              </w:rPr>
            </w:pPr>
            <w:r w:rsidRPr="00B6311D">
              <w:rPr>
                <w:sz w:val="18"/>
                <w:szCs w:val="18"/>
              </w:rPr>
              <w:t>9*/36</w:t>
            </w:r>
          </w:p>
        </w:tc>
      </w:tr>
      <w:tr w:rsidR="00154EC6" w:rsidRPr="005A4C46" w14:paraId="170650E1" w14:textId="77777777" w:rsidTr="004D23F8">
        <w:trPr>
          <w:trHeight w:val="71"/>
        </w:trPr>
        <w:tc>
          <w:tcPr>
            <w:tcW w:w="0" w:type="auto"/>
            <w:vAlign w:val="center"/>
          </w:tcPr>
          <w:p w14:paraId="39EBA1D8" w14:textId="77777777" w:rsidR="00154EC6" w:rsidRPr="00B6311D" w:rsidRDefault="00154EC6" w:rsidP="004D23F8">
            <w:pPr>
              <w:ind w:left="270"/>
              <w:jc w:val="center"/>
              <w:rPr>
                <w:sz w:val="18"/>
                <w:szCs w:val="18"/>
              </w:rPr>
            </w:pPr>
            <w:r w:rsidRPr="00B6311D">
              <w:rPr>
                <w:sz w:val="18"/>
                <w:szCs w:val="18"/>
              </w:rPr>
              <w:t>A4</w:t>
            </w:r>
          </w:p>
        </w:tc>
        <w:tc>
          <w:tcPr>
            <w:tcW w:w="0" w:type="auto"/>
            <w:vAlign w:val="center"/>
          </w:tcPr>
          <w:p w14:paraId="1FACA31A" w14:textId="77777777" w:rsidR="00154EC6" w:rsidRPr="00B6311D" w:rsidRDefault="00154EC6" w:rsidP="004D23F8">
            <w:pPr>
              <w:ind w:left="270"/>
              <w:jc w:val="center"/>
              <w:rPr>
                <w:sz w:val="18"/>
                <w:szCs w:val="18"/>
              </w:rPr>
            </w:pPr>
            <w:r w:rsidRPr="00B6311D">
              <w:rPr>
                <w:sz w:val="18"/>
                <w:szCs w:val="18"/>
              </w:rPr>
              <w:t>41 to 113</w:t>
            </w:r>
          </w:p>
        </w:tc>
        <w:tc>
          <w:tcPr>
            <w:tcW w:w="0" w:type="auto"/>
            <w:vAlign w:val="center"/>
          </w:tcPr>
          <w:p w14:paraId="3CF9E8CC" w14:textId="77777777" w:rsidR="00154EC6" w:rsidRPr="00B6311D" w:rsidRDefault="00154EC6" w:rsidP="004D23F8">
            <w:pPr>
              <w:ind w:left="270"/>
              <w:jc w:val="center"/>
              <w:rPr>
                <w:sz w:val="18"/>
                <w:szCs w:val="18"/>
              </w:rPr>
            </w:pPr>
            <w:r w:rsidRPr="00B6311D">
              <w:rPr>
                <w:sz w:val="18"/>
                <w:szCs w:val="18"/>
              </w:rPr>
              <w:t xml:space="preserve">10.4°F DP and 8% RH to </w:t>
            </w:r>
            <w:r>
              <w:rPr>
                <w:sz w:val="18"/>
                <w:szCs w:val="18"/>
              </w:rPr>
              <w:t>75.2</w:t>
            </w:r>
            <w:r w:rsidRPr="00B6311D">
              <w:rPr>
                <w:sz w:val="18"/>
                <w:szCs w:val="18"/>
              </w:rPr>
              <w:t>°F DP and 90% RH</w:t>
            </w:r>
          </w:p>
        </w:tc>
        <w:tc>
          <w:tcPr>
            <w:tcW w:w="0" w:type="auto"/>
            <w:vAlign w:val="center"/>
          </w:tcPr>
          <w:p w14:paraId="5A64B778" w14:textId="77777777" w:rsidR="00154EC6" w:rsidRPr="00B6311D" w:rsidRDefault="00154EC6" w:rsidP="004D23F8">
            <w:pPr>
              <w:ind w:left="270"/>
              <w:jc w:val="center"/>
              <w:rPr>
                <w:sz w:val="18"/>
                <w:szCs w:val="18"/>
              </w:rPr>
            </w:pPr>
            <w:r w:rsidRPr="00B6311D">
              <w:rPr>
                <w:sz w:val="18"/>
                <w:szCs w:val="18"/>
              </w:rPr>
              <w:t>75.2</w:t>
            </w:r>
          </w:p>
        </w:tc>
        <w:tc>
          <w:tcPr>
            <w:tcW w:w="0" w:type="auto"/>
            <w:vAlign w:val="center"/>
          </w:tcPr>
          <w:p w14:paraId="64DF5CDE" w14:textId="77777777" w:rsidR="00154EC6" w:rsidRPr="00B6311D" w:rsidRDefault="00154EC6" w:rsidP="004D23F8">
            <w:pPr>
              <w:ind w:left="270"/>
              <w:jc w:val="center"/>
              <w:rPr>
                <w:sz w:val="18"/>
                <w:szCs w:val="18"/>
              </w:rPr>
            </w:pPr>
            <w:r w:rsidRPr="00B6311D">
              <w:rPr>
                <w:sz w:val="18"/>
                <w:szCs w:val="18"/>
              </w:rPr>
              <w:t>10,000</w:t>
            </w:r>
          </w:p>
        </w:tc>
        <w:tc>
          <w:tcPr>
            <w:tcW w:w="0" w:type="auto"/>
            <w:vAlign w:val="center"/>
          </w:tcPr>
          <w:p w14:paraId="67FAAE87" w14:textId="77777777" w:rsidR="00154EC6" w:rsidRPr="00B6311D" w:rsidRDefault="00154EC6" w:rsidP="004D23F8">
            <w:pPr>
              <w:ind w:left="270"/>
              <w:jc w:val="center"/>
              <w:rPr>
                <w:sz w:val="18"/>
                <w:szCs w:val="18"/>
              </w:rPr>
            </w:pPr>
            <w:r w:rsidRPr="00B6311D">
              <w:rPr>
                <w:sz w:val="18"/>
                <w:szCs w:val="18"/>
              </w:rPr>
              <w:t>9*/36</w:t>
            </w:r>
          </w:p>
        </w:tc>
      </w:tr>
      <w:tr w:rsidR="00154EC6" w:rsidRPr="005A4C46" w14:paraId="467619CB" w14:textId="77777777" w:rsidTr="004D23F8">
        <w:trPr>
          <w:trHeight w:val="53"/>
        </w:trPr>
        <w:tc>
          <w:tcPr>
            <w:tcW w:w="0" w:type="auto"/>
            <w:vAlign w:val="center"/>
          </w:tcPr>
          <w:p w14:paraId="6859876D" w14:textId="77777777" w:rsidR="00154EC6" w:rsidRPr="00B6311D" w:rsidRDefault="00154EC6" w:rsidP="004D23F8">
            <w:pPr>
              <w:ind w:left="270"/>
              <w:jc w:val="center"/>
              <w:rPr>
                <w:sz w:val="18"/>
                <w:szCs w:val="18"/>
              </w:rPr>
            </w:pPr>
            <w:r w:rsidRPr="00B6311D">
              <w:rPr>
                <w:sz w:val="18"/>
                <w:szCs w:val="18"/>
              </w:rPr>
              <w:t>B</w:t>
            </w:r>
          </w:p>
        </w:tc>
        <w:tc>
          <w:tcPr>
            <w:tcW w:w="0" w:type="auto"/>
            <w:vAlign w:val="center"/>
          </w:tcPr>
          <w:p w14:paraId="4DAD4992" w14:textId="77777777" w:rsidR="00154EC6" w:rsidRPr="00B6311D" w:rsidRDefault="00154EC6" w:rsidP="004D23F8">
            <w:pPr>
              <w:ind w:left="270"/>
              <w:jc w:val="center"/>
              <w:rPr>
                <w:sz w:val="18"/>
                <w:szCs w:val="18"/>
              </w:rPr>
            </w:pPr>
            <w:r w:rsidRPr="00B6311D">
              <w:rPr>
                <w:sz w:val="18"/>
                <w:szCs w:val="18"/>
              </w:rPr>
              <w:t>41 to 95</w:t>
            </w:r>
          </w:p>
        </w:tc>
        <w:tc>
          <w:tcPr>
            <w:tcW w:w="0" w:type="auto"/>
            <w:vAlign w:val="center"/>
          </w:tcPr>
          <w:p w14:paraId="0BEC523D" w14:textId="77777777" w:rsidR="00154EC6" w:rsidRPr="00B6311D" w:rsidRDefault="00154EC6" w:rsidP="004D23F8">
            <w:pPr>
              <w:ind w:left="270"/>
              <w:jc w:val="center"/>
              <w:rPr>
                <w:sz w:val="18"/>
                <w:szCs w:val="18"/>
              </w:rPr>
            </w:pPr>
            <w:r w:rsidRPr="00B6311D">
              <w:rPr>
                <w:sz w:val="18"/>
                <w:szCs w:val="18"/>
              </w:rPr>
              <w:t>8%</w:t>
            </w:r>
            <w:r>
              <w:rPr>
                <w:sz w:val="18"/>
                <w:szCs w:val="18"/>
              </w:rPr>
              <w:t xml:space="preserve"> to 82.4</w:t>
            </w:r>
            <w:r w:rsidRPr="00B6311D">
              <w:rPr>
                <w:sz w:val="18"/>
                <w:szCs w:val="18"/>
              </w:rPr>
              <w:t>°F DP and 80% RH</w:t>
            </w:r>
          </w:p>
        </w:tc>
        <w:tc>
          <w:tcPr>
            <w:tcW w:w="0" w:type="auto"/>
            <w:vAlign w:val="center"/>
          </w:tcPr>
          <w:p w14:paraId="041BACBB" w14:textId="77777777" w:rsidR="00154EC6" w:rsidRPr="00B6311D" w:rsidRDefault="00154EC6" w:rsidP="004D23F8">
            <w:pPr>
              <w:ind w:left="270"/>
              <w:jc w:val="center"/>
              <w:rPr>
                <w:sz w:val="18"/>
                <w:szCs w:val="18"/>
              </w:rPr>
            </w:pPr>
            <w:r w:rsidRPr="00B6311D">
              <w:rPr>
                <w:sz w:val="18"/>
                <w:szCs w:val="18"/>
              </w:rPr>
              <w:t>82.4</w:t>
            </w:r>
          </w:p>
        </w:tc>
        <w:tc>
          <w:tcPr>
            <w:tcW w:w="0" w:type="auto"/>
            <w:vAlign w:val="center"/>
          </w:tcPr>
          <w:p w14:paraId="34BE28BF" w14:textId="77777777" w:rsidR="00154EC6" w:rsidRPr="00B6311D" w:rsidRDefault="00154EC6" w:rsidP="004D23F8">
            <w:pPr>
              <w:ind w:left="270"/>
              <w:jc w:val="center"/>
              <w:rPr>
                <w:sz w:val="18"/>
                <w:szCs w:val="18"/>
              </w:rPr>
            </w:pPr>
            <w:r w:rsidRPr="00B6311D">
              <w:rPr>
                <w:sz w:val="18"/>
                <w:szCs w:val="18"/>
              </w:rPr>
              <w:t>10,000</w:t>
            </w:r>
          </w:p>
        </w:tc>
        <w:tc>
          <w:tcPr>
            <w:tcW w:w="0" w:type="auto"/>
            <w:vAlign w:val="center"/>
          </w:tcPr>
          <w:p w14:paraId="7E2E04AB" w14:textId="77777777" w:rsidR="00154EC6" w:rsidRPr="00B6311D" w:rsidRDefault="00154EC6" w:rsidP="004D23F8">
            <w:pPr>
              <w:ind w:left="270"/>
              <w:jc w:val="center"/>
              <w:rPr>
                <w:sz w:val="18"/>
                <w:szCs w:val="18"/>
              </w:rPr>
            </w:pPr>
            <w:r w:rsidRPr="00B6311D">
              <w:rPr>
                <w:sz w:val="18"/>
                <w:szCs w:val="18"/>
              </w:rPr>
              <w:t>N/A</w:t>
            </w:r>
          </w:p>
        </w:tc>
      </w:tr>
      <w:tr w:rsidR="00154EC6" w:rsidRPr="005A4C46" w14:paraId="6DDDC499" w14:textId="77777777" w:rsidTr="004D23F8">
        <w:trPr>
          <w:trHeight w:val="215"/>
        </w:trPr>
        <w:tc>
          <w:tcPr>
            <w:tcW w:w="0" w:type="auto"/>
            <w:tcBorders>
              <w:bottom w:val="single" w:sz="4" w:space="0" w:color="auto"/>
            </w:tcBorders>
            <w:vAlign w:val="center"/>
          </w:tcPr>
          <w:p w14:paraId="3BC85C62" w14:textId="77777777" w:rsidR="00154EC6" w:rsidRPr="00B6311D" w:rsidRDefault="00154EC6" w:rsidP="004D23F8">
            <w:pPr>
              <w:ind w:left="270"/>
              <w:jc w:val="center"/>
              <w:rPr>
                <w:sz w:val="18"/>
                <w:szCs w:val="18"/>
              </w:rPr>
            </w:pPr>
            <w:r w:rsidRPr="00B6311D">
              <w:rPr>
                <w:sz w:val="18"/>
                <w:szCs w:val="18"/>
              </w:rPr>
              <w:t>C</w:t>
            </w:r>
          </w:p>
        </w:tc>
        <w:tc>
          <w:tcPr>
            <w:tcW w:w="0" w:type="auto"/>
            <w:tcBorders>
              <w:bottom w:val="single" w:sz="4" w:space="0" w:color="auto"/>
            </w:tcBorders>
            <w:vAlign w:val="center"/>
          </w:tcPr>
          <w:p w14:paraId="108CFB10" w14:textId="77777777" w:rsidR="00154EC6" w:rsidRPr="00B6311D" w:rsidRDefault="00154EC6" w:rsidP="004D23F8">
            <w:pPr>
              <w:ind w:left="270"/>
              <w:jc w:val="center"/>
              <w:rPr>
                <w:sz w:val="18"/>
                <w:szCs w:val="18"/>
              </w:rPr>
            </w:pPr>
            <w:r w:rsidRPr="00B6311D">
              <w:rPr>
                <w:sz w:val="18"/>
                <w:szCs w:val="18"/>
              </w:rPr>
              <w:t>41 to 104</w:t>
            </w:r>
          </w:p>
        </w:tc>
        <w:tc>
          <w:tcPr>
            <w:tcW w:w="0" w:type="auto"/>
            <w:tcBorders>
              <w:bottom w:val="single" w:sz="4" w:space="0" w:color="auto"/>
            </w:tcBorders>
            <w:vAlign w:val="center"/>
          </w:tcPr>
          <w:p w14:paraId="0B885807" w14:textId="77777777" w:rsidR="00154EC6" w:rsidRPr="00B6311D" w:rsidRDefault="00154EC6" w:rsidP="004D23F8">
            <w:pPr>
              <w:ind w:left="270"/>
              <w:jc w:val="center"/>
              <w:rPr>
                <w:sz w:val="18"/>
                <w:szCs w:val="18"/>
              </w:rPr>
            </w:pPr>
            <w:r>
              <w:rPr>
                <w:sz w:val="18"/>
                <w:szCs w:val="18"/>
              </w:rPr>
              <w:t>8% to 82.4</w:t>
            </w:r>
            <w:r w:rsidRPr="00B6311D">
              <w:rPr>
                <w:sz w:val="18"/>
                <w:szCs w:val="18"/>
              </w:rPr>
              <w:t>%°F DP and 80% RH</w:t>
            </w:r>
          </w:p>
        </w:tc>
        <w:tc>
          <w:tcPr>
            <w:tcW w:w="0" w:type="auto"/>
            <w:tcBorders>
              <w:bottom w:val="single" w:sz="4" w:space="0" w:color="auto"/>
            </w:tcBorders>
            <w:vAlign w:val="center"/>
          </w:tcPr>
          <w:p w14:paraId="08A5B566" w14:textId="77777777" w:rsidR="00154EC6" w:rsidRPr="00B6311D" w:rsidRDefault="00154EC6" w:rsidP="004D23F8">
            <w:pPr>
              <w:ind w:left="270"/>
              <w:jc w:val="center"/>
              <w:rPr>
                <w:sz w:val="18"/>
                <w:szCs w:val="18"/>
              </w:rPr>
            </w:pPr>
            <w:r w:rsidRPr="00B6311D">
              <w:rPr>
                <w:sz w:val="18"/>
                <w:szCs w:val="18"/>
              </w:rPr>
              <w:t>82.4</w:t>
            </w:r>
          </w:p>
        </w:tc>
        <w:tc>
          <w:tcPr>
            <w:tcW w:w="0" w:type="auto"/>
            <w:tcBorders>
              <w:bottom w:val="single" w:sz="4" w:space="0" w:color="auto"/>
            </w:tcBorders>
            <w:vAlign w:val="center"/>
          </w:tcPr>
          <w:p w14:paraId="582CCE03" w14:textId="77777777" w:rsidR="00154EC6" w:rsidRPr="00B6311D" w:rsidRDefault="00154EC6" w:rsidP="004D23F8">
            <w:pPr>
              <w:ind w:left="270"/>
              <w:jc w:val="center"/>
              <w:rPr>
                <w:sz w:val="18"/>
                <w:szCs w:val="18"/>
              </w:rPr>
            </w:pPr>
            <w:r w:rsidRPr="00B6311D">
              <w:rPr>
                <w:sz w:val="18"/>
                <w:szCs w:val="18"/>
              </w:rPr>
              <w:t>10,000</w:t>
            </w:r>
          </w:p>
        </w:tc>
        <w:tc>
          <w:tcPr>
            <w:tcW w:w="0" w:type="auto"/>
            <w:tcBorders>
              <w:bottom w:val="single" w:sz="4" w:space="0" w:color="auto"/>
            </w:tcBorders>
            <w:vAlign w:val="center"/>
          </w:tcPr>
          <w:p w14:paraId="49E83FA0" w14:textId="77777777" w:rsidR="00154EC6" w:rsidRPr="00B6311D" w:rsidRDefault="00154EC6" w:rsidP="004D23F8">
            <w:pPr>
              <w:ind w:left="270"/>
              <w:jc w:val="center"/>
              <w:rPr>
                <w:sz w:val="18"/>
                <w:szCs w:val="18"/>
              </w:rPr>
            </w:pPr>
            <w:r w:rsidRPr="00B6311D">
              <w:rPr>
                <w:sz w:val="18"/>
                <w:szCs w:val="18"/>
              </w:rPr>
              <w:t>N/A</w:t>
            </w:r>
          </w:p>
        </w:tc>
      </w:tr>
      <w:tr w:rsidR="00154EC6" w:rsidRPr="005A4C46" w14:paraId="6C48CB67" w14:textId="77777777" w:rsidTr="004D23F8">
        <w:trPr>
          <w:trHeight w:val="152"/>
        </w:trPr>
        <w:tc>
          <w:tcPr>
            <w:tcW w:w="0" w:type="auto"/>
            <w:gridSpan w:val="3"/>
            <w:tcBorders>
              <w:top w:val="single" w:sz="4" w:space="0" w:color="auto"/>
              <w:left w:val="single" w:sz="4" w:space="0" w:color="auto"/>
              <w:bottom w:val="single" w:sz="4" w:space="0" w:color="auto"/>
              <w:right w:val="nil"/>
            </w:tcBorders>
            <w:vAlign w:val="center"/>
          </w:tcPr>
          <w:p w14:paraId="6FCC1BDD" w14:textId="77777777" w:rsidR="00154EC6" w:rsidRPr="00B6311D" w:rsidRDefault="00154EC6" w:rsidP="004D23F8">
            <w:pPr>
              <w:rPr>
                <w:sz w:val="18"/>
                <w:szCs w:val="18"/>
              </w:rPr>
            </w:pPr>
            <w:r w:rsidRPr="00B6311D">
              <w:rPr>
                <w:sz w:val="18"/>
                <w:szCs w:val="18"/>
              </w:rPr>
              <w:t>*More stringent rate of change for tape drives</w:t>
            </w:r>
          </w:p>
        </w:tc>
        <w:tc>
          <w:tcPr>
            <w:tcW w:w="0" w:type="auto"/>
            <w:gridSpan w:val="3"/>
            <w:tcBorders>
              <w:top w:val="single" w:sz="4" w:space="0" w:color="auto"/>
              <w:left w:val="nil"/>
              <w:bottom w:val="single" w:sz="4" w:space="0" w:color="auto"/>
              <w:right w:val="single" w:sz="4" w:space="0" w:color="auto"/>
            </w:tcBorders>
            <w:vAlign w:val="center"/>
          </w:tcPr>
          <w:p w14:paraId="0455D7E9" w14:textId="77777777" w:rsidR="00154EC6" w:rsidRPr="00B6311D" w:rsidRDefault="00154EC6" w:rsidP="004D23F8">
            <w:pPr>
              <w:ind w:left="270"/>
              <w:rPr>
                <w:sz w:val="18"/>
                <w:szCs w:val="18"/>
              </w:rPr>
            </w:pPr>
            <w:r w:rsidRPr="00B6311D">
              <w:rPr>
                <w:sz w:val="18"/>
                <w:szCs w:val="18"/>
              </w:rPr>
              <w:t>©ASHRAE 2015 Thermal Guidelines Table</w:t>
            </w:r>
            <w:r>
              <w:rPr>
                <w:sz w:val="18"/>
                <w:szCs w:val="18"/>
              </w:rPr>
              <w:t xml:space="preserve"> I-P Version (updated to errata issued July 25, 2016). R</w:t>
            </w:r>
            <w:r w:rsidRPr="00B6311D">
              <w:rPr>
                <w:sz w:val="18"/>
                <w:szCs w:val="18"/>
              </w:rPr>
              <w:t>eformatted by LBNL</w:t>
            </w:r>
          </w:p>
        </w:tc>
      </w:tr>
    </w:tbl>
    <w:bookmarkEnd w:id="7"/>
    <w:p w14:paraId="78FD08EB" w14:textId="6D01EFBF" w:rsidR="005950F9" w:rsidRPr="005A4C46" w:rsidRDefault="005950F9" w:rsidP="005A4C46">
      <w:pPr>
        <w:jc w:val="center"/>
        <w:rPr>
          <w:b/>
          <w:sz w:val="22"/>
          <w:szCs w:val="22"/>
        </w:rPr>
      </w:pPr>
      <w:r>
        <w:rPr>
          <w:b/>
          <w:sz w:val="22"/>
          <w:szCs w:val="22"/>
        </w:rPr>
        <w:t xml:space="preserve">Table </w:t>
      </w:r>
      <w:r w:rsidRPr="002707B4">
        <w:rPr>
          <w:b/>
          <w:sz w:val="22"/>
          <w:szCs w:val="22"/>
          <w:highlight w:val="yellow"/>
        </w:rPr>
        <w:t>4</w:t>
      </w:r>
      <w:r>
        <w:rPr>
          <w:b/>
          <w:sz w:val="22"/>
          <w:szCs w:val="22"/>
        </w:rPr>
        <w:t xml:space="preserve"> – ASHRAE Recommended and Allowable Temperature and Humidity</w:t>
      </w:r>
      <w:r w:rsidR="00B215CA">
        <w:rPr>
          <w:b/>
          <w:sz w:val="22"/>
          <w:szCs w:val="22"/>
        </w:rPr>
        <w:t xml:space="preserve"> Ranges for IT Inlet Air </w:t>
      </w:r>
    </w:p>
    <w:p w14:paraId="7A41D464" w14:textId="2B69CD66" w:rsidR="00B215CA" w:rsidRPr="000C14FF" w:rsidRDefault="004D142D" w:rsidP="000C14FF">
      <w:pPr>
        <w:pStyle w:val="Heading1"/>
      </w:pPr>
      <w:bookmarkStart w:id="8" w:name="_Toc328915520"/>
      <w:r>
        <w:t xml:space="preserve">5. </w:t>
      </w:r>
      <w:r w:rsidR="00B215CA" w:rsidRPr="000C14FF">
        <w:t>Electrical System Description</w:t>
      </w:r>
      <w:bookmarkEnd w:id="8"/>
    </w:p>
    <w:p w14:paraId="5E013D7F" w14:textId="2972787D" w:rsidR="00B215CA" w:rsidRDefault="00B215CA" w:rsidP="000C14FF">
      <w:pPr>
        <w:pStyle w:val="Heading3"/>
      </w:pPr>
      <w:r>
        <w:t>Utility Feed and General Description</w:t>
      </w:r>
    </w:p>
    <w:p w14:paraId="565090B3" w14:textId="55E8624A" w:rsidR="00B215CA" w:rsidRPr="00A62FDD" w:rsidRDefault="00B215CA" w:rsidP="00B215CA">
      <w:pPr>
        <w:rPr>
          <w:sz w:val="22"/>
          <w:szCs w:val="22"/>
        </w:rPr>
      </w:pPr>
      <w:r w:rsidRPr="00A62FDD">
        <w:rPr>
          <w:sz w:val="22"/>
          <w:szCs w:val="22"/>
          <w:highlight w:val="yellow"/>
        </w:rPr>
        <w:t xml:space="preserve">Include basic information </w:t>
      </w:r>
      <w:r w:rsidR="007A67DF">
        <w:rPr>
          <w:sz w:val="22"/>
          <w:szCs w:val="22"/>
          <w:highlight w:val="yellow"/>
        </w:rPr>
        <w:t>about</w:t>
      </w:r>
      <w:r w:rsidRPr="00A62FDD">
        <w:rPr>
          <w:sz w:val="22"/>
          <w:szCs w:val="22"/>
          <w:highlight w:val="yellow"/>
        </w:rPr>
        <w:t xml:space="preserve"> how electricity is fed into the building and to the IT equipment.</w:t>
      </w:r>
      <w:r w:rsidRPr="00A62FDD">
        <w:rPr>
          <w:sz w:val="22"/>
          <w:szCs w:val="22"/>
        </w:rPr>
        <w:t xml:space="preserve"> </w:t>
      </w:r>
    </w:p>
    <w:p w14:paraId="0AF5CABB" w14:textId="77777777" w:rsidR="00B215CA" w:rsidRDefault="00B215CA" w:rsidP="00B215CA"/>
    <w:p w14:paraId="7192D7EC" w14:textId="5B1FC885" w:rsidR="00B215CA" w:rsidRPr="00B215CA" w:rsidRDefault="00B215CA" w:rsidP="00B215CA">
      <w:pPr>
        <w:rPr>
          <w:b/>
        </w:rPr>
      </w:pPr>
      <w:r w:rsidRPr="00B215CA">
        <w:rPr>
          <w:b/>
        </w:rPr>
        <w:t>UPS System</w:t>
      </w:r>
    </w:p>
    <w:p w14:paraId="09ECB005" w14:textId="6E151B5F" w:rsidR="00582CA9" w:rsidRPr="007A67DF" w:rsidRDefault="007A67DF" w:rsidP="00B215CA">
      <w:pPr>
        <w:rPr>
          <w:sz w:val="22"/>
          <w:szCs w:val="22"/>
        </w:rPr>
      </w:pPr>
      <w:r>
        <w:rPr>
          <w:sz w:val="22"/>
          <w:szCs w:val="22"/>
          <w:highlight w:val="yellow"/>
        </w:rPr>
        <w:t xml:space="preserve">Count, topology, whether meters were present and working.  </w:t>
      </w:r>
    </w:p>
    <w:p w14:paraId="58295B20" w14:textId="77777777" w:rsidR="00582CA9" w:rsidRDefault="00582CA9" w:rsidP="00B215CA"/>
    <w:p w14:paraId="4CCC379F" w14:textId="31282A3F" w:rsidR="001A022F" w:rsidRPr="00A62FDD" w:rsidRDefault="001A022F" w:rsidP="00B215CA">
      <w:pPr>
        <w:rPr>
          <w:sz w:val="22"/>
          <w:szCs w:val="22"/>
        </w:rPr>
      </w:pPr>
      <w:r w:rsidRPr="00A62FDD">
        <w:rPr>
          <w:sz w:val="22"/>
          <w:szCs w:val="22"/>
        </w:rPr>
        <w:t xml:space="preserve">Table </w:t>
      </w:r>
      <w:r w:rsidRPr="00A62FDD">
        <w:rPr>
          <w:sz w:val="22"/>
          <w:szCs w:val="22"/>
          <w:highlight w:val="yellow"/>
        </w:rPr>
        <w:t>5</w:t>
      </w:r>
      <w:r w:rsidRPr="00A62FDD">
        <w:rPr>
          <w:sz w:val="22"/>
          <w:szCs w:val="22"/>
        </w:rPr>
        <w:t xml:space="preserve"> shows the loading of the A and B UPS systems. </w:t>
      </w:r>
      <w:r w:rsidRPr="00A62FDD">
        <w:rPr>
          <w:sz w:val="22"/>
          <w:szCs w:val="22"/>
          <w:highlight w:val="yellow"/>
        </w:rPr>
        <w:t>Briefly explain where data in table came from.</w:t>
      </w:r>
      <w:r w:rsidRPr="00A62FDD">
        <w:rPr>
          <w:sz w:val="22"/>
          <w:szCs w:val="22"/>
        </w:rPr>
        <w:t xml:space="preserve"> </w:t>
      </w:r>
    </w:p>
    <w:p w14:paraId="3B221254" w14:textId="77777777" w:rsidR="00B215CA" w:rsidRDefault="00B215CA" w:rsidP="00B215CA"/>
    <w:tbl>
      <w:tblPr>
        <w:tblStyle w:val="TableGrid"/>
        <w:tblW w:w="5000" w:type="pct"/>
        <w:tblLook w:val="04A0" w:firstRow="1" w:lastRow="0" w:firstColumn="1" w:lastColumn="0" w:noHBand="0" w:noVBand="1"/>
      </w:tblPr>
      <w:tblGrid>
        <w:gridCol w:w="2382"/>
        <w:gridCol w:w="1270"/>
        <w:gridCol w:w="1568"/>
        <w:gridCol w:w="1544"/>
        <w:gridCol w:w="2092"/>
      </w:tblGrid>
      <w:tr w:rsidR="00B215CA" w14:paraId="16F65271" w14:textId="73160864" w:rsidTr="001A022F">
        <w:tc>
          <w:tcPr>
            <w:tcW w:w="1345" w:type="pct"/>
          </w:tcPr>
          <w:p w14:paraId="27F67833" w14:textId="77777777" w:rsidR="00B215CA" w:rsidRDefault="00B215CA" w:rsidP="00B215CA"/>
        </w:tc>
        <w:tc>
          <w:tcPr>
            <w:tcW w:w="717" w:type="pct"/>
          </w:tcPr>
          <w:p w14:paraId="356DFB65" w14:textId="7F333207" w:rsidR="00B215CA" w:rsidRPr="00A62FDD" w:rsidRDefault="00B215CA" w:rsidP="00B215CA">
            <w:pPr>
              <w:rPr>
                <w:b/>
                <w:sz w:val="22"/>
                <w:szCs w:val="22"/>
              </w:rPr>
            </w:pPr>
            <w:r w:rsidRPr="00A62FDD">
              <w:rPr>
                <w:b/>
                <w:sz w:val="22"/>
                <w:szCs w:val="22"/>
              </w:rPr>
              <w:t>Units</w:t>
            </w:r>
          </w:p>
        </w:tc>
        <w:tc>
          <w:tcPr>
            <w:tcW w:w="885" w:type="pct"/>
          </w:tcPr>
          <w:p w14:paraId="57521460" w14:textId="6A1341E8" w:rsidR="00B215CA" w:rsidRPr="00A62FDD" w:rsidRDefault="00B215CA" w:rsidP="00B215CA">
            <w:pPr>
              <w:rPr>
                <w:b/>
                <w:sz w:val="22"/>
                <w:szCs w:val="22"/>
              </w:rPr>
            </w:pPr>
            <w:r w:rsidRPr="00A62FDD">
              <w:rPr>
                <w:b/>
                <w:sz w:val="22"/>
                <w:szCs w:val="22"/>
              </w:rPr>
              <w:t>UPS-A</w:t>
            </w:r>
          </w:p>
        </w:tc>
        <w:tc>
          <w:tcPr>
            <w:tcW w:w="872" w:type="pct"/>
          </w:tcPr>
          <w:p w14:paraId="02E49A0B" w14:textId="7FD45BC9" w:rsidR="00B215CA" w:rsidRPr="00A62FDD" w:rsidRDefault="00B215CA" w:rsidP="00B215CA">
            <w:pPr>
              <w:rPr>
                <w:b/>
                <w:sz w:val="22"/>
                <w:szCs w:val="22"/>
              </w:rPr>
            </w:pPr>
            <w:r w:rsidRPr="00A62FDD">
              <w:rPr>
                <w:b/>
                <w:sz w:val="22"/>
                <w:szCs w:val="22"/>
              </w:rPr>
              <w:t>UPS-B</w:t>
            </w:r>
          </w:p>
        </w:tc>
        <w:tc>
          <w:tcPr>
            <w:tcW w:w="1181" w:type="pct"/>
          </w:tcPr>
          <w:p w14:paraId="2F4CD03A" w14:textId="13870B4F" w:rsidR="00B215CA" w:rsidRPr="00A62FDD" w:rsidRDefault="00B215CA" w:rsidP="00B215CA">
            <w:pPr>
              <w:rPr>
                <w:b/>
                <w:sz w:val="22"/>
                <w:szCs w:val="22"/>
              </w:rPr>
            </w:pPr>
            <w:r w:rsidRPr="00A62FDD">
              <w:rPr>
                <w:b/>
                <w:sz w:val="22"/>
                <w:szCs w:val="22"/>
              </w:rPr>
              <w:t>Combined</w:t>
            </w:r>
          </w:p>
        </w:tc>
      </w:tr>
      <w:tr w:rsidR="001A022F" w:rsidRPr="001A022F" w14:paraId="492A84BD" w14:textId="30DD0A20" w:rsidTr="001A022F">
        <w:tc>
          <w:tcPr>
            <w:tcW w:w="1345" w:type="pct"/>
          </w:tcPr>
          <w:p w14:paraId="02C5869C" w14:textId="388F5102" w:rsidR="001A022F" w:rsidRPr="00A62FDD" w:rsidRDefault="001A022F" w:rsidP="00B215CA">
            <w:pPr>
              <w:rPr>
                <w:sz w:val="22"/>
                <w:szCs w:val="22"/>
                <w:highlight w:val="yellow"/>
              </w:rPr>
            </w:pPr>
            <w:r w:rsidRPr="00A62FDD">
              <w:rPr>
                <w:sz w:val="22"/>
                <w:szCs w:val="22"/>
                <w:highlight w:val="yellow"/>
              </w:rPr>
              <w:t>UPS Input</w:t>
            </w:r>
          </w:p>
        </w:tc>
        <w:tc>
          <w:tcPr>
            <w:tcW w:w="717" w:type="pct"/>
          </w:tcPr>
          <w:p w14:paraId="6EC9B2B6" w14:textId="29CA8B4D" w:rsidR="001A022F" w:rsidRPr="00A62FDD" w:rsidRDefault="001A022F" w:rsidP="00B215CA">
            <w:pPr>
              <w:rPr>
                <w:sz w:val="22"/>
                <w:szCs w:val="22"/>
                <w:highlight w:val="yellow"/>
              </w:rPr>
            </w:pPr>
            <w:r w:rsidRPr="00A62FDD">
              <w:rPr>
                <w:sz w:val="22"/>
                <w:szCs w:val="22"/>
                <w:highlight w:val="yellow"/>
              </w:rPr>
              <w:t>kW</w:t>
            </w:r>
          </w:p>
        </w:tc>
        <w:tc>
          <w:tcPr>
            <w:tcW w:w="885" w:type="pct"/>
          </w:tcPr>
          <w:p w14:paraId="4AD9D81F" w14:textId="247D1022" w:rsidR="001A022F" w:rsidRPr="00A62FDD" w:rsidRDefault="001A022F" w:rsidP="00B215CA">
            <w:pPr>
              <w:rPr>
                <w:sz w:val="22"/>
                <w:szCs w:val="22"/>
                <w:highlight w:val="yellow"/>
              </w:rPr>
            </w:pPr>
            <w:r w:rsidRPr="00A62FDD">
              <w:rPr>
                <w:sz w:val="22"/>
                <w:szCs w:val="22"/>
                <w:highlight w:val="yellow"/>
              </w:rPr>
              <w:t>xx</w:t>
            </w:r>
          </w:p>
        </w:tc>
        <w:tc>
          <w:tcPr>
            <w:tcW w:w="872" w:type="pct"/>
          </w:tcPr>
          <w:p w14:paraId="2244EC50" w14:textId="7E7C27C9" w:rsidR="001A022F" w:rsidRPr="00A62FDD" w:rsidRDefault="001A022F" w:rsidP="00B215CA">
            <w:pPr>
              <w:rPr>
                <w:sz w:val="22"/>
                <w:szCs w:val="22"/>
                <w:highlight w:val="yellow"/>
              </w:rPr>
            </w:pPr>
            <w:r w:rsidRPr="00A62FDD">
              <w:rPr>
                <w:sz w:val="22"/>
                <w:szCs w:val="22"/>
                <w:highlight w:val="yellow"/>
              </w:rPr>
              <w:t>xx</w:t>
            </w:r>
          </w:p>
        </w:tc>
        <w:tc>
          <w:tcPr>
            <w:tcW w:w="1181" w:type="pct"/>
          </w:tcPr>
          <w:p w14:paraId="2ADA4B49" w14:textId="4B0DFD04" w:rsidR="001A022F" w:rsidRPr="00A62FDD" w:rsidRDefault="001A022F" w:rsidP="00B215CA">
            <w:pPr>
              <w:rPr>
                <w:sz w:val="22"/>
                <w:szCs w:val="22"/>
                <w:highlight w:val="yellow"/>
              </w:rPr>
            </w:pPr>
            <w:r w:rsidRPr="00A62FDD">
              <w:rPr>
                <w:sz w:val="22"/>
                <w:szCs w:val="22"/>
                <w:highlight w:val="yellow"/>
              </w:rPr>
              <w:t>xx</w:t>
            </w:r>
          </w:p>
        </w:tc>
      </w:tr>
      <w:tr w:rsidR="001A022F" w:rsidRPr="001A022F" w14:paraId="062CA461" w14:textId="77777777" w:rsidTr="001A022F">
        <w:tc>
          <w:tcPr>
            <w:tcW w:w="1345" w:type="pct"/>
          </w:tcPr>
          <w:p w14:paraId="7885363E" w14:textId="6D2397C2" w:rsidR="001A022F" w:rsidRPr="00A62FDD" w:rsidRDefault="001A022F" w:rsidP="00B215CA">
            <w:pPr>
              <w:rPr>
                <w:sz w:val="22"/>
                <w:szCs w:val="22"/>
                <w:highlight w:val="yellow"/>
              </w:rPr>
            </w:pPr>
            <w:r w:rsidRPr="00A62FDD">
              <w:rPr>
                <w:sz w:val="22"/>
                <w:szCs w:val="22"/>
                <w:highlight w:val="yellow"/>
              </w:rPr>
              <w:t>UPS Output</w:t>
            </w:r>
          </w:p>
        </w:tc>
        <w:tc>
          <w:tcPr>
            <w:tcW w:w="717" w:type="pct"/>
          </w:tcPr>
          <w:p w14:paraId="297EE5F5" w14:textId="5A4ECB0F" w:rsidR="001A022F" w:rsidRPr="00A62FDD" w:rsidRDefault="001A022F" w:rsidP="00B215CA">
            <w:pPr>
              <w:rPr>
                <w:sz w:val="22"/>
                <w:szCs w:val="22"/>
                <w:highlight w:val="yellow"/>
              </w:rPr>
            </w:pPr>
            <w:r w:rsidRPr="00A62FDD">
              <w:rPr>
                <w:sz w:val="22"/>
                <w:szCs w:val="22"/>
                <w:highlight w:val="yellow"/>
              </w:rPr>
              <w:t>kW</w:t>
            </w:r>
          </w:p>
        </w:tc>
        <w:tc>
          <w:tcPr>
            <w:tcW w:w="885" w:type="pct"/>
          </w:tcPr>
          <w:p w14:paraId="04489E2E" w14:textId="6CE0AB7C" w:rsidR="001A022F" w:rsidRPr="00A62FDD" w:rsidRDefault="001A022F" w:rsidP="00B215CA">
            <w:pPr>
              <w:rPr>
                <w:sz w:val="22"/>
                <w:szCs w:val="22"/>
                <w:highlight w:val="yellow"/>
              </w:rPr>
            </w:pPr>
            <w:r w:rsidRPr="00A62FDD">
              <w:rPr>
                <w:sz w:val="22"/>
                <w:szCs w:val="22"/>
                <w:highlight w:val="yellow"/>
              </w:rPr>
              <w:t>xx</w:t>
            </w:r>
          </w:p>
        </w:tc>
        <w:tc>
          <w:tcPr>
            <w:tcW w:w="872" w:type="pct"/>
          </w:tcPr>
          <w:p w14:paraId="70E90AB2" w14:textId="7C0F5037" w:rsidR="001A022F" w:rsidRPr="00A62FDD" w:rsidRDefault="001A022F" w:rsidP="00B215CA">
            <w:pPr>
              <w:rPr>
                <w:sz w:val="22"/>
                <w:szCs w:val="22"/>
                <w:highlight w:val="yellow"/>
              </w:rPr>
            </w:pPr>
            <w:r w:rsidRPr="00A62FDD">
              <w:rPr>
                <w:sz w:val="22"/>
                <w:szCs w:val="22"/>
                <w:highlight w:val="yellow"/>
              </w:rPr>
              <w:t>xx</w:t>
            </w:r>
          </w:p>
        </w:tc>
        <w:tc>
          <w:tcPr>
            <w:tcW w:w="1181" w:type="pct"/>
          </w:tcPr>
          <w:p w14:paraId="374C5383" w14:textId="72B07072" w:rsidR="001A022F" w:rsidRPr="00A62FDD" w:rsidRDefault="001A022F" w:rsidP="00B215CA">
            <w:pPr>
              <w:rPr>
                <w:sz w:val="22"/>
                <w:szCs w:val="22"/>
                <w:highlight w:val="yellow"/>
              </w:rPr>
            </w:pPr>
            <w:r w:rsidRPr="00A62FDD">
              <w:rPr>
                <w:sz w:val="22"/>
                <w:szCs w:val="22"/>
                <w:highlight w:val="yellow"/>
              </w:rPr>
              <w:t>xx</w:t>
            </w:r>
          </w:p>
        </w:tc>
      </w:tr>
      <w:tr w:rsidR="001A022F" w:rsidRPr="001A022F" w14:paraId="352F3F4C" w14:textId="77777777" w:rsidTr="001A022F">
        <w:tc>
          <w:tcPr>
            <w:tcW w:w="1345" w:type="pct"/>
          </w:tcPr>
          <w:p w14:paraId="18B61936" w14:textId="0981EC1C" w:rsidR="001A022F" w:rsidRPr="00A62FDD" w:rsidRDefault="001A022F" w:rsidP="00B215CA">
            <w:pPr>
              <w:rPr>
                <w:sz w:val="22"/>
                <w:szCs w:val="22"/>
                <w:highlight w:val="yellow"/>
              </w:rPr>
            </w:pPr>
            <w:r w:rsidRPr="00A62FDD">
              <w:rPr>
                <w:sz w:val="22"/>
                <w:szCs w:val="22"/>
                <w:highlight w:val="yellow"/>
              </w:rPr>
              <w:t>Losses</w:t>
            </w:r>
          </w:p>
        </w:tc>
        <w:tc>
          <w:tcPr>
            <w:tcW w:w="717" w:type="pct"/>
          </w:tcPr>
          <w:p w14:paraId="1CF1D9CD" w14:textId="1BD0E03C" w:rsidR="001A022F" w:rsidRPr="00A62FDD" w:rsidRDefault="001A022F" w:rsidP="00B215CA">
            <w:pPr>
              <w:rPr>
                <w:sz w:val="22"/>
                <w:szCs w:val="22"/>
                <w:highlight w:val="yellow"/>
              </w:rPr>
            </w:pPr>
            <w:r w:rsidRPr="00A62FDD">
              <w:rPr>
                <w:sz w:val="22"/>
                <w:szCs w:val="22"/>
                <w:highlight w:val="yellow"/>
              </w:rPr>
              <w:t>kW</w:t>
            </w:r>
          </w:p>
        </w:tc>
        <w:tc>
          <w:tcPr>
            <w:tcW w:w="885" w:type="pct"/>
          </w:tcPr>
          <w:p w14:paraId="053D5542" w14:textId="021FAAAA" w:rsidR="001A022F" w:rsidRPr="00A62FDD" w:rsidRDefault="001A022F" w:rsidP="00B215CA">
            <w:pPr>
              <w:rPr>
                <w:sz w:val="22"/>
                <w:szCs w:val="22"/>
                <w:highlight w:val="yellow"/>
              </w:rPr>
            </w:pPr>
            <w:r w:rsidRPr="00A62FDD">
              <w:rPr>
                <w:sz w:val="22"/>
                <w:szCs w:val="22"/>
                <w:highlight w:val="yellow"/>
              </w:rPr>
              <w:t>xx</w:t>
            </w:r>
          </w:p>
        </w:tc>
        <w:tc>
          <w:tcPr>
            <w:tcW w:w="872" w:type="pct"/>
          </w:tcPr>
          <w:p w14:paraId="1CFC78E8" w14:textId="72853FA5" w:rsidR="001A022F" w:rsidRPr="00A62FDD" w:rsidRDefault="001A022F" w:rsidP="00B215CA">
            <w:pPr>
              <w:rPr>
                <w:sz w:val="22"/>
                <w:szCs w:val="22"/>
                <w:highlight w:val="yellow"/>
              </w:rPr>
            </w:pPr>
            <w:r w:rsidRPr="00A62FDD">
              <w:rPr>
                <w:sz w:val="22"/>
                <w:szCs w:val="22"/>
                <w:highlight w:val="yellow"/>
              </w:rPr>
              <w:t>xx</w:t>
            </w:r>
          </w:p>
        </w:tc>
        <w:tc>
          <w:tcPr>
            <w:tcW w:w="1181" w:type="pct"/>
          </w:tcPr>
          <w:p w14:paraId="1CB70B0A" w14:textId="75D6B820" w:rsidR="001A022F" w:rsidRPr="00A62FDD" w:rsidRDefault="001A022F" w:rsidP="00B215CA">
            <w:pPr>
              <w:rPr>
                <w:sz w:val="22"/>
                <w:szCs w:val="22"/>
                <w:highlight w:val="yellow"/>
              </w:rPr>
            </w:pPr>
            <w:r w:rsidRPr="00A62FDD">
              <w:rPr>
                <w:sz w:val="22"/>
                <w:szCs w:val="22"/>
                <w:highlight w:val="yellow"/>
              </w:rPr>
              <w:t>xx</w:t>
            </w:r>
          </w:p>
        </w:tc>
      </w:tr>
      <w:tr w:rsidR="001A022F" w:rsidRPr="001A022F" w14:paraId="2D0C3309" w14:textId="77777777" w:rsidTr="001A022F">
        <w:tc>
          <w:tcPr>
            <w:tcW w:w="1345" w:type="pct"/>
          </w:tcPr>
          <w:p w14:paraId="3042185E" w14:textId="584BA0BF" w:rsidR="001A022F" w:rsidRPr="00A62FDD" w:rsidRDefault="001A022F" w:rsidP="00B215CA">
            <w:pPr>
              <w:rPr>
                <w:sz w:val="22"/>
                <w:szCs w:val="22"/>
                <w:highlight w:val="yellow"/>
              </w:rPr>
            </w:pPr>
            <w:r w:rsidRPr="00A62FDD">
              <w:rPr>
                <w:sz w:val="22"/>
                <w:szCs w:val="22"/>
                <w:highlight w:val="yellow"/>
              </w:rPr>
              <w:t>Efficiency</w:t>
            </w:r>
          </w:p>
        </w:tc>
        <w:tc>
          <w:tcPr>
            <w:tcW w:w="717" w:type="pct"/>
          </w:tcPr>
          <w:p w14:paraId="72ADA789" w14:textId="373712D9" w:rsidR="001A022F" w:rsidRPr="00A62FDD" w:rsidRDefault="001A022F" w:rsidP="00B215CA">
            <w:pPr>
              <w:rPr>
                <w:sz w:val="22"/>
                <w:szCs w:val="22"/>
                <w:highlight w:val="yellow"/>
              </w:rPr>
            </w:pPr>
            <w:r w:rsidRPr="00A62FDD">
              <w:rPr>
                <w:sz w:val="22"/>
                <w:szCs w:val="22"/>
                <w:highlight w:val="yellow"/>
              </w:rPr>
              <w:t>%</w:t>
            </w:r>
          </w:p>
        </w:tc>
        <w:tc>
          <w:tcPr>
            <w:tcW w:w="885" w:type="pct"/>
          </w:tcPr>
          <w:p w14:paraId="0B01275D" w14:textId="13E2DD8E" w:rsidR="001A022F" w:rsidRPr="00A62FDD" w:rsidRDefault="001A022F" w:rsidP="00B215CA">
            <w:pPr>
              <w:rPr>
                <w:sz w:val="22"/>
                <w:szCs w:val="22"/>
                <w:highlight w:val="yellow"/>
              </w:rPr>
            </w:pPr>
            <w:r w:rsidRPr="00A62FDD">
              <w:rPr>
                <w:sz w:val="22"/>
                <w:szCs w:val="22"/>
                <w:highlight w:val="yellow"/>
              </w:rPr>
              <w:t>xx</w:t>
            </w:r>
          </w:p>
        </w:tc>
        <w:tc>
          <w:tcPr>
            <w:tcW w:w="872" w:type="pct"/>
          </w:tcPr>
          <w:p w14:paraId="464FC02D" w14:textId="7CE78BE8" w:rsidR="001A022F" w:rsidRPr="00A62FDD" w:rsidRDefault="001A022F" w:rsidP="00B215CA">
            <w:pPr>
              <w:rPr>
                <w:sz w:val="22"/>
                <w:szCs w:val="22"/>
                <w:highlight w:val="yellow"/>
              </w:rPr>
            </w:pPr>
            <w:r w:rsidRPr="00A62FDD">
              <w:rPr>
                <w:sz w:val="22"/>
                <w:szCs w:val="22"/>
                <w:highlight w:val="yellow"/>
              </w:rPr>
              <w:t>xx</w:t>
            </w:r>
          </w:p>
        </w:tc>
        <w:tc>
          <w:tcPr>
            <w:tcW w:w="1181" w:type="pct"/>
          </w:tcPr>
          <w:p w14:paraId="7C8C4A52" w14:textId="4962A76C" w:rsidR="001A022F" w:rsidRPr="00A62FDD" w:rsidRDefault="001A022F" w:rsidP="00B215CA">
            <w:pPr>
              <w:rPr>
                <w:sz w:val="22"/>
                <w:szCs w:val="22"/>
                <w:highlight w:val="yellow"/>
              </w:rPr>
            </w:pPr>
            <w:r w:rsidRPr="00A62FDD">
              <w:rPr>
                <w:sz w:val="22"/>
                <w:szCs w:val="22"/>
                <w:highlight w:val="yellow"/>
              </w:rPr>
              <w:t>xx</w:t>
            </w:r>
          </w:p>
        </w:tc>
      </w:tr>
      <w:tr w:rsidR="001A022F" w14:paraId="717FB910" w14:textId="77777777" w:rsidTr="001A022F">
        <w:tc>
          <w:tcPr>
            <w:tcW w:w="1345" w:type="pct"/>
          </w:tcPr>
          <w:p w14:paraId="2102EF5E" w14:textId="6862B087" w:rsidR="001A022F" w:rsidRPr="00A62FDD" w:rsidRDefault="001A022F" w:rsidP="00B215CA">
            <w:pPr>
              <w:rPr>
                <w:sz w:val="22"/>
                <w:szCs w:val="22"/>
                <w:highlight w:val="yellow"/>
              </w:rPr>
            </w:pPr>
            <w:r w:rsidRPr="00A62FDD">
              <w:rPr>
                <w:sz w:val="22"/>
                <w:szCs w:val="22"/>
                <w:highlight w:val="yellow"/>
              </w:rPr>
              <w:t>Load Factor</w:t>
            </w:r>
          </w:p>
        </w:tc>
        <w:tc>
          <w:tcPr>
            <w:tcW w:w="717" w:type="pct"/>
          </w:tcPr>
          <w:p w14:paraId="08A5BA60" w14:textId="56DAD962" w:rsidR="001A022F" w:rsidRPr="00A62FDD" w:rsidRDefault="001A022F" w:rsidP="00B215CA">
            <w:pPr>
              <w:rPr>
                <w:sz w:val="22"/>
                <w:szCs w:val="22"/>
                <w:highlight w:val="yellow"/>
              </w:rPr>
            </w:pPr>
            <w:r w:rsidRPr="00A62FDD">
              <w:rPr>
                <w:sz w:val="22"/>
                <w:szCs w:val="22"/>
                <w:highlight w:val="yellow"/>
              </w:rPr>
              <w:t>%</w:t>
            </w:r>
          </w:p>
        </w:tc>
        <w:tc>
          <w:tcPr>
            <w:tcW w:w="885" w:type="pct"/>
          </w:tcPr>
          <w:p w14:paraId="58EBBB75" w14:textId="015A40FF" w:rsidR="001A022F" w:rsidRPr="00A62FDD" w:rsidRDefault="001A022F" w:rsidP="00B215CA">
            <w:pPr>
              <w:rPr>
                <w:sz w:val="22"/>
                <w:szCs w:val="22"/>
                <w:highlight w:val="yellow"/>
              </w:rPr>
            </w:pPr>
            <w:r w:rsidRPr="00A62FDD">
              <w:rPr>
                <w:sz w:val="22"/>
                <w:szCs w:val="22"/>
                <w:highlight w:val="yellow"/>
              </w:rPr>
              <w:t>xx</w:t>
            </w:r>
          </w:p>
        </w:tc>
        <w:tc>
          <w:tcPr>
            <w:tcW w:w="872" w:type="pct"/>
          </w:tcPr>
          <w:p w14:paraId="66835563" w14:textId="59EF43EF" w:rsidR="001A022F" w:rsidRPr="00A62FDD" w:rsidRDefault="001A022F" w:rsidP="00B215CA">
            <w:pPr>
              <w:rPr>
                <w:sz w:val="22"/>
                <w:szCs w:val="22"/>
                <w:highlight w:val="yellow"/>
              </w:rPr>
            </w:pPr>
            <w:r w:rsidRPr="00A62FDD">
              <w:rPr>
                <w:sz w:val="22"/>
                <w:szCs w:val="22"/>
                <w:highlight w:val="yellow"/>
              </w:rPr>
              <w:t>xx</w:t>
            </w:r>
          </w:p>
        </w:tc>
        <w:tc>
          <w:tcPr>
            <w:tcW w:w="1181" w:type="pct"/>
          </w:tcPr>
          <w:p w14:paraId="576FA7A8" w14:textId="68BDC78D" w:rsidR="001A022F" w:rsidRPr="00A62FDD" w:rsidRDefault="001A022F" w:rsidP="00B215CA">
            <w:pPr>
              <w:rPr>
                <w:sz w:val="22"/>
                <w:szCs w:val="22"/>
              </w:rPr>
            </w:pPr>
            <w:r w:rsidRPr="00A62FDD">
              <w:rPr>
                <w:sz w:val="22"/>
                <w:szCs w:val="22"/>
                <w:highlight w:val="yellow"/>
              </w:rPr>
              <w:t>xx</w:t>
            </w:r>
          </w:p>
        </w:tc>
      </w:tr>
    </w:tbl>
    <w:p w14:paraId="05E2B327" w14:textId="66F7358F" w:rsidR="001A022F" w:rsidRPr="00DB7FBC" w:rsidRDefault="001A022F" w:rsidP="001A022F">
      <w:pPr>
        <w:jc w:val="center"/>
        <w:rPr>
          <w:b/>
          <w:sz w:val="22"/>
          <w:szCs w:val="22"/>
        </w:rPr>
      </w:pPr>
      <w:r>
        <w:rPr>
          <w:b/>
          <w:sz w:val="22"/>
          <w:szCs w:val="22"/>
        </w:rPr>
        <w:t xml:space="preserve">Table </w:t>
      </w:r>
      <w:r w:rsidRPr="00571313">
        <w:rPr>
          <w:b/>
          <w:sz w:val="22"/>
          <w:szCs w:val="22"/>
          <w:highlight w:val="yellow"/>
        </w:rPr>
        <w:t>5</w:t>
      </w:r>
      <w:r>
        <w:rPr>
          <w:b/>
          <w:sz w:val="22"/>
          <w:szCs w:val="22"/>
        </w:rPr>
        <w:t xml:space="preserve"> – UPS Electrical Measurements</w:t>
      </w:r>
    </w:p>
    <w:p w14:paraId="64FF9244" w14:textId="77777777" w:rsidR="001A022F" w:rsidRDefault="001A022F" w:rsidP="001A022F">
      <w:pPr>
        <w:rPr>
          <w:sz w:val="22"/>
          <w:szCs w:val="22"/>
        </w:rPr>
      </w:pPr>
    </w:p>
    <w:p w14:paraId="57E19DF6" w14:textId="0DCCD6F1" w:rsidR="00582CA9" w:rsidRPr="00B215CA" w:rsidRDefault="00582CA9" w:rsidP="00582CA9">
      <w:pPr>
        <w:rPr>
          <w:b/>
        </w:rPr>
      </w:pPr>
      <w:r>
        <w:rPr>
          <w:b/>
        </w:rPr>
        <w:t>Distribution Transformers/PDUs</w:t>
      </w:r>
    </w:p>
    <w:p w14:paraId="25260200" w14:textId="4EA6BE7F" w:rsidR="00B215CA" w:rsidRDefault="00582CA9" w:rsidP="00B215CA">
      <w:pPr>
        <w:rPr>
          <w:highlight w:val="yellow"/>
        </w:rPr>
      </w:pPr>
      <w:r w:rsidRPr="00582CA9">
        <w:rPr>
          <w:highlight w:val="yellow"/>
        </w:rPr>
        <w:t>Provide a count and basic description of PDUs used to distribute electrical power to the IT equipment</w:t>
      </w:r>
      <w:r>
        <w:rPr>
          <w:highlight w:val="yellow"/>
        </w:rPr>
        <w:t xml:space="preserve"> including kVA, meters present and data they provide, and whether all metering work properly</w:t>
      </w:r>
      <w:r w:rsidRPr="00582CA9">
        <w:rPr>
          <w:highlight w:val="yellow"/>
        </w:rPr>
        <w:t>.</w:t>
      </w:r>
    </w:p>
    <w:p w14:paraId="6DE6FB14" w14:textId="513B3283" w:rsidR="00582CA9" w:rsidRPr="000C14FF" w:rsidRDefault="00582CA9" w:rsidP="000C14FF">
      <w:pPr>
        <w:pStyle w:val="Heading3"/>
      </w:pPr>
      <w:r w:rsidRPr="000C14FF">
        <w:t>Lighting</w:t>
      </w:r>
    </w:p>
    <w:p w14:paraId="337ADD4A" w14:textId="6EB0B5B9" w:rsidR="000C14FF" w:rsidRDefault="000C14FF" w:rsidP="000C14FF">
      <w:pPr>
        <w:rPr>
          <w:sz w:val="22"/>
          <w:szCs w:val="22"/>
        </w:rPr>
      </w:pPr>
      <w:r w:rsidRPr="000C14FF">
        <w:rPr>
          <w:sz w:val="22"/>
          <w:szCs w:val="22"/>
          <w:highlight w:val="yellow"/>
        </w:rPr>
        <w:t>Cover type, count, and any other relevant information.</w:t>
      </w:r>
    </w:p>
    <w:p w14:paraId="0B881F20" w14:textId="45DE9D60" w:rsidR="000C14FF" w:rsidRDefault="004D142D" w:rsidP="000C14FF">
      <w:pPr>
        <w:pStyle w:val="Heading1"/>
      </w:pPr>
      <w:bookmarkStart w:id="9" w:name="_Toc328915521"/>
      <w:r>
        <w:t>6</w:t>
      </w:r>
      <w:r w:rsidR="000C14FF">
        <w:t>. Benchmarking</w:t>
      </w:r>
      <w:bookmarkEnd w:id="9"/>
    </w:p>
    <w:p w14:paraId="4536FC79" w14:textId="3AC99175" w:rsidR="004D142D" w:rsidRDefault="00E43873" w:rsidP="00E43873">
      <w:pPr>
        <w:rPr>
          <w:sz w:val="22"/>
          <w:szCs w:val="22"/>
        </w:rPr>
      </w:pPr>
      <w:r w:rsidRPr="00E43873">
        <w:rPr>
          <w:sz w:val="22"/>
          <w:szCs w:val="22"/>
        </w:rPr>
        <w:t xml:space="preserve">The purpose of this section is to summarize the metrics that were </w:t>
      </w:r>
      <w:r>
        <w:rPr>
          <w:sz w:val="22"/>
          <w:szCs w:val="22"/>
        </w:rPr>
        <w:t>calculated</w:t>
      </w:r>
      <w:r w:rsidRPr="00E43873">
        <w:rPr>
          <w:sz w:val="22"/>
          <w:szCs w:val="22"/>
        </w:rPr>
        <w:t xml:space="preserve"> as part of the assessment process and compare them to data from other facilities, where available. </w:t>
      </w:r>
    </w:p>
    <w:p w14:paraId="43D050B2" w14:textId="14BF4CB1" w:rsidR="004D142D" w:rsidRDefault="004D142D" w:rsidP="004D142D">
      <w:pPr>
        <w:pStyle w:val="Heading3"/>
      </w:pPr>
      <w:r>
        <w:t>Overall Efficiency Metric</w:t>
      </w:r>
    </w:p>
    <w:p w14:paraId="2D29D480" w14:textId="3DED9EC4" w:rsidR="003E0ADD" w:rsidRDefault="004D142D" w:rsidP="00E43873">
      <w:r w:rsidRPr="004D142D">
        <w:t xml:space="preserve">The PUE (total energy/IT energy) metric was calculated based on the </w:t>
      </w:r>
      <w:r w:rsidRPr="004D142D">
        <w:rPr>
          <w:highlight w:val="yellow"/>
        </w:rPr>
        <w:t>Month/Year</w:t>
      </w:r>
      <w:r w:rsidRPr="004D142D">
        <w:t xml:space="preserve"> data and found to be </w:t>
      </w:r>
      <w:r w:rsidR="00571313">
        <w:rPr>
          <w:highlight w:val="yellow"/>
        </w:rPr>
        <w:t>x.x</w:t>
      </w:r>
      <w:r w:rsidRPr="004D142D">
        <w:t xml:space="preserve">, which is </w:t>
      </w:r>
      <w:r w:rsidRPr="004D142D">
        <w:rPr>
          <w:highlight w:val="yellow"/>
        </w:rPr>
        <w:t>better/worse</w:t>
      </w:r>
      <w:r w:rsidRPr="004D142D">
        <w:t xml:space="preserve"> than average</w:t>
      </w:r>
      <w:r w:rsidR="00114466">
        <w:t>.</w:t>
      </w:r>
      <w:r w:rsidR="009F723A">
        <w:t xml:space="preserve"> </w:t>
      </w:r>
      <w:r w:rsidR="00066768">
        <w:t xml:space="preserve">See Figure </w:t>
      </w:r>
      <w:r w:rsidR="00066768" w:rsidRPr="00114466">
        <w:rPr>
          <w:highlight w:val="yellow"/>
        </w:rPr>
        <w:t>3.</w:t>
      </w:r>
    </w:p>
    <w:p w14:paraId="61DE1543" w14:textId="77777777" w:rsidR="003E0ADD" w:rsidRDefault="003E0ADD" w:rsidP="00E43873"/>
    <w:p w14:paraId="6955B103" w14:textId="3844FEE9" w:rsidR="00FE4D00" w:rsidRPr="00D35F88" w:rsidRDefault="003E0ADD" w:rsidP="009F723A">
      <w:pPr>
        <w:jc w:val="center"/>
      </w:pPr>
      <w:r>
        <w:rPr>
          <w:noProof/>
        </w:rPr>
        <w:drawing>
          <wp:anchor distT="0" distB="0" distL="114300" distR="114300" simplePos="0" relativeHeight="251662336" behindDoc="0" locked="0" layoutInCell="1" allowOverlap="1" wp14:anchorId="362F817D" wp14:editId="5F3F0EC7">
            <wp:simplePos x="0" y="0"/>
            <wp:positionH relativeFrom="margin">
              <wp:posOffset>114300</wp:posOffset>
            </wp:positionH>
            <wp:positionV relativeFrom="margin">
              <wp:posOffset>2857500</wp:posOffset>
            </wp:positionV>
            <wp:extent cx="5204460" cy="3657600"/>
            <wp:effectExtent l="0" t="0" r="27940" b="2540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E4D00">
        <w:rPr>
          <w:b/>
          <w:sz w:val="22"/>
          <w:szCs w:val="22"/>
        </w:rPr>
        <w:t xml:space="preserve">Figure </w:t>
      </w:r>
      <w:r w:rsidR="00FE4D00" w:rsidRPr="003E0ADD">
        <w:rPr>
          <w:b/>
          <w:sz w:val="22"/>
          <w:szCs w:val="22"/>
          <w:highlight w:val="yellow"/>
        </w:rPr>
        <w:t>3</w:t>
      </w:r>
      <w:r w:rsidR="00FE4D00">
        <w:rPr>
          <w:b/>
          <w:sz w:val="22"/>
          <w:szCs w:val="22"/>
        </w:rPr>
        <w:t xml:space="preserve"> – </w:t>
      </w:r>
      <w:r w:rsidR="00580A67">
        <w:rPr>
          <w:b/>
          <w:sz w:val="22"/>
          <w:szCs w:val="22"/>
        </w:rPr>
        <w:t>PUE (</w:t>
      </w:r>
      <w:r w:rsidR="00580A67" w:rsidRPr="00580A67">
        <w:rPr>
          <w:b/>
          <w:sz w:val="22"/>
          <w:szCs w:val="22"/>
        </w:rPr>
        <w:t xml:space="preserve">total energy/IT energy) </w:t>
      </w:r>
      <w:r w:rsidR="00FE4D00" w:rsidRPr="00FE4D00">
        <w:rPr>
          <w:b/>
          <w:sz w:val="22"/>
          <w:szCs w:val="22"/>
          <w:highlight w:val="yellow"/>
        </w:rPr>
        <w:t xml:space="preserve">Add line and text box to show your data center’s </w:t>
      </w:r>
      <w:r w:rsidR="00FE4D00" w:rsidRPr="0013297D">
        <w:rPr>
          <w:b/>
          <w:sz w:val="22"/>
          <w:szCs w:val="22"/>
          <w:highlight w:val="yellow"/>
        </w:rPr>
        <w:t>PUE</w:t>
      </w:r>
      <w:r w:rsidR="0013297D" w:rsidRPr="0013297D">
        <w:rPr>
          <w:b/>
          <w:sz w:val="22"/>
          <w:szCs w:val="22"/>
          <w:highlight w:val="yellow"/>
        </w:rPr>
        <w:t xml:space="preserve"> and goal (if different than federal goal).</w:t>
      </w:r>
    </w:p>
    <w:p w14:paraId="478B0677" w14:textId="6BC61BBC" w:rsidR="000C14FF" w:rsidRDefault="003A1C8E" w:rsidP="003A1C8E">
      <w:pPr>
        <w:pStyle w:val="Heading3"/>
      </w:pPr>
      <w:r>
        <w:t>Air Management and Air Distribution Metrics</w:t>
      </w:r>
    </w:p>
    <w:p w14:paraId="499D9C7A" w14:textId="5B5C00AD" w:rsidR="003A1C8E" w:rsidRPr="00175610" w:rsidRDefault="00175610" w:rsidP="003A1C8E">
      <w:pPr>
        <w:jc w:val="both"/>
        <w:rPr>
          <w:sz w:val="22"/>
          <w:szCs w:val="22"/>
        </w:rPr>
      </w:pPr>
      <w:r w:rsidRPr="00175610">
        <w:rPr>
          <w:sz w:val="22"/>
          <w:szCs w:val="22"/>
        </w:rPr>
        <w:t xml:space="preserve">Representative IT equipment intake and exhaust temperatures were collected from a sample of IT equipment in the main data center. </w:t>
      </w:r>
      <w:r w:rsidR="003A1C8E" w:rsidRPr="00175610">
        <w:rPr>
          <w:sz w:val="22"/>
          <w:szCs w:val="22"/>
        </w:rPr>
        <w:t xml:space="preserve">In addition, measurements of supply </w:t>
      </w:r>
      <w:r w:rsidRPr="00175610">
        <w:rPr>
          <w:sz w:val="22"/>
          <w:szCs w:val="22"/>
        </w:rPr>
        <w:t xml:space="preserve">and return </w:t>
      </w:r>
      <w:r w:rsidR="003A1C8E" w:rsidRPr="00175610">
        <w:rPr>
          <w:sz w:val="22"/>
          <w:szCs w:val="22"/>
        </w:rPr>
        <w:t xml:space="preserve">air temperatures were taken from </w:t>
      </w:r>
      <w:r w:rsidRPr="00175610">
        <w:rPr>
          <w:sz w:val="22"/>
          <w:szCs w:val="22"/>
        </w:rPr>
        <w:t xml:space="preserve">the </w:t>
      </w:r>
      <w:r w:rsidRPr="00175610">
        <w:rPr>
          <w:sz w:val="22"/>
          <w:szCs w:val="22"/>
          <w:highlight w:val="yellow"/>
        </w:rPr>
        <w:t>CRAC/</w:t>
      </w:r>
      <w:r w:rsidR="003A1C8E" w:rsidRPr="00175610">
        <w:rPr>
          <w:sz w:val="22"/>
          <w:szCs w:val="22"/>
          <w:highlight w:val="yellow"/>
        </w:rPr>
        <w:t>CRAH</w:t>
      </w:r>
      <w:r w:rsidRPr="00175610">
        <w:rPr>
          <w:sz w:val="22"/>
          <w:szCs w:val="22"/>
        </w:rPr>
        <w:t xml:space="preserve"> units </w:t>
      </w:r>
      <w:r w:rsidRPr="00175610">
        <w:rPr>
          <w:sz w:val="22"/>
          <w:szCs w:val="22"/>
          <w:highlight w:val="yellow"/>
        </w:rPr>
        <w:t xml:space="preserve">and </w:t>
      </w:r>
      <w:r w:rsidR="003A1C8E" w:rsidRPr="00175610">
        <w:rPr>
          <w:sz w:val="22"/>
          <w:szCs w:val="22"/>
          <w:highlight w:val="yellow"/>
        </w:rPr>
        <w:t>perforated tiles</w:t>
      </w:r>
      <w:r w:rsidRPr="00175610">
        <w:rPr>
          <w:sz w:val="22"/>
          <w:szCs w:val="22"/>
        </w:rPr>
        <w:t>. The goal wa</w:t>
      </w:r>
      <w:r w:rsidR="003A1C8E" w:rsidRPr="00175610">
        <w:rPr>
          <w:sz w:val="22"/>
          <w:szCs w:val="22"/>
        </w:rPr>
        <w:t xml:space="preserve">s to establish an understanding of the air management performance, identify any issues such as </w:t>
      </w:r>
      <w:r w:rsidRPr="00175610">
        <w:rPr>
          <w:sz w:val="22"/>
          <w:szCs w:val="22"/>
        </w:rPr>
        <w:t>hot spots or inadequate airflow.</w:t>
      </w:r>
      <w:r w:rsidR="003A1C8E" w:rsidRPr="00175610">
        <w:rPr>
          <w:sz w:val="22"/>
          <w:szCs w:val="22"/>
        </w:rPr>
        <w:t xml:space="preserve"> From these temperature measurements, the fo</w:t>
      </w:r>
      <w:r w:rsidR="0048225F">
        <w:rPr>
          <w:sz w:val="22"/>
          <w:szCs w:val="22"/>
        </w:rPr>
        <w:t>llowing indices were calculated:</w:t>
      </w:r>
    </w:p>
    <w:p w14:paraId="3E88DECB" w14:textId="46D395FE" w:rsidR="003A1C8E" w:rsidRPr="009A4C1B" w:rsidRDefault="00175610" w:rsidP="009A4C1B">
      <w:pPr>
        <w:pStyle w:val="Heading4"/>
      </w:pPr>
      <w:r w:rsidRPr="009A4C1B">
        <w:t>Rack Cooling Index (RCI)</w:t>
      </w:r>
      <w:r w:rsidR="003A1C8E" w:rsidRPr="009A4C1B">
        <w:t xml:space="preserve"> </w:t>
      </w:r>
    </w:p>
    <w:p w14:paraId="2E1983CB" w14:textId="7392CB8E" w:rsidR="003A1C8E" w:rsidRPr="00175610" w:rsidRDefault="003A1C8E" w:rsidP="003A1C8E">
      <w:pPr>
        <w:jc w:val="both"/>
        <w:rPr>
          <w:sz w:val="22"/>
          <w:szCs w:val="22"/>
        </w:rPr>
      </w:pPr>
      <w:r w:rsidRPr="00175610">
        <w:rPr>
          <w:sz w:val="22"/>
          <w:szCs w:val="22"/>
        </w:rPr>
        <w:t xml:space="preserve">RCI is a dimensionless measure of how </w:t>
      </w:r>
      <w:r w:rsidRPr="00175610">
        <w:rPr>
          <w:iCs/>
          <w:sz w:val="22"/>
          <w:szCs w:val="22"/>
        </w:rPr>
        <w:t>effectively the</w:t>
      </w:r>
      <w:r w:rsidR="00175610">
        <w:rPr>
          <w:iCs/>
          <w:sz w:val="22"/>
          <w:szCs w:val="22"/>
        </w:rPr>
        <w:t xml:space="preserve"> IT</w:t>
      </w:r>
      <w:r w:rsidRPr="00175610">
        <w:rPr>
          <w:iCs/>
          <w:sz w:val="22"/>
          <w:szCs w:val="22"/>
        </w:rPr>
        <w:t xml:space="preserve"> equipment is cooled</w:t>
      </w:r>
      <w:r w:rsidRPr="00175610">
        <w:rPr>
          <w:i/>
          <w:iCs/>
          <w:sz w:val="22"/>
          <w:szCs w:val="22"/>
        </w:rPr>
        <w:t xml:space="preserve"> </w:t>
      </w:r>
      <w:r w:rsidRPr="00175610">
        <w:rPr>
          <w:sz w:val="22"/>
          <w:szCs w:val="22"/>
        </w:rPr>
        <w:t xml:space="preserve">within </w:t>
      </w:r>
      <w:r w:rsidR="00175610">
        <w:rPr>
          <w:sz w:val="22"/>
          <w:szCs w:val="22"/>
        </w:rPr>
        <w:t xml:space="preserve">the desired </w:t>
      </w:r>
      <w:r w:rsidRPr="00175610">
        <w:rPr>
          <w:sz w:val="22"/>
          <w:szCs w:val="22"/>
        </w:rPr>
        <w:t>intake temperature specification</w:t>
      </w:r>
      <w:r w:rsidR="00175610">
        <w:rPr>
          <w:sz w:val="22"/>
          <w:szCs w:val="22"/>
        </w:rPr>
        <w:t xml:space="preserve"> range</w:t>
      </w:r>
      <w:r w:rsidRPr="00175610">
        <w:rPr>
          <w:sz w:val="22"/>
          <w:szCs w:val="22"/>
        </w:rPr>
        <w:t xml:space="preserve"> (</w:t>
      </w:r>
      <w:r w:rsidR="00175610">
        <w:rPr>
          <w:sz w:val="22"/>
          <w:szCs w:val="22"/>
        </w:rPr>
        <w:t>ASHRAE recommended values- see Table 4</w:t>
      </w:r>
      <w:r w:rsidRPr="00175610">
        <w:rPr>
          <w:sz w:val="22"/>
          <w:szCs w:val="22"/>
        </w:rPr>
        <w:t>). It provides a measure of the conditions at the high (HI) end and at the low (LO) end of the specified temperature range. RCI</w:t>
      </w:r>
      <w:r w:rsidRPr="00175610">
        <w:rPr>
          <w:sz w:val="22"/>
          <w:szCs w:val="22"/>
          <w:vertAlign w:val="subscript"/>
        </w:rPr>
        <w:t>HI</w:t>
      </w:r>
      <w:r w:rsidRPr="00175610">
        <w:rPr>
          <w:sz w:val="22"/>
          <w:szCs w:val="22"/>
        </w:rPr>
        <w:t>=100% means that no intake temperature is above the maximum recommended, and RCI</w:t>
      </w:r>
      <w:r w:rsidRPr="00175610">
        <w:rPr>
          <w:sz w:val="22"/>
          <w:szCs w:val="22"/>
          <w:vertAlign w:val="subscript"/>
        </w:rPr>
        <w:t>LO</w:t>
      </w:r>
      <w:r w:rsidRPr="00175610">
        <w:rPr>
          <w:sz w:val="22"/>
          <w:szCs w:val="22"/>
        </w:rPr>
        <w:t xml:space="preserve">=100% means that no intake temperature is below the minimum recommended. Using ASHRAE Class </w:t>
      </w:r>
      <w:r w:rsidR="00175610">
        <w:rPr>
          <w:sz w:val="22"/>
          <w:szCs w:val="22"/>
        </w:rPr>
        <w:t>A1</w:t>
      </w:r>
      <w:r w:rsidRPr="00175610">
        <w:rPr>
          <w:sz w:val="22"/>
          <w:szCs w:val="22"/>
        </w:rPr>
        <w:t xml:space="preserve"> temperature specification, “poor” conditions are ≤90% whereas “good” conditions are ≥96%. </w:t>
      </w:r>
    </w:p>
    <w:p w14:paraId="23E1D76B" w14:textId="065935A0" w:rsidR="003A1C8E" w:rsidRPr="00175610" w:rsidRDefault="003A1C8E" w:rsidP="009A4C1B">
      <w:pPr>
        <w:pStyle w:val="Heading4"/>
      </w:pPr>
      <w:r w:rsidRPr="00175610">
        <w:t>R</w:t>
      </w:r>
      <w:r w:rsidR="00175610">
        <w:t>eturn Temperature Index (RTI)</w:t>
      </w:r>
    </w:p>
    <w:p w14:paraId="2A11E117" w14:textId="1F9F2414" w:rsidR="003A1C8E" w:rsidRPr="00175610" w:rsidRDefault="003A1C8E" w:rsidP="003A1C8E">
      <w:pPr>
        <w:jc w:val="both"/>
        <w:rPr>
          <w:sz w:val="22"/>
          <w:szCs w:val="22"/>
        </w:rPr>
      </w:pPr>
      <w:r w:rsidRPr="00175610">
        <w:rPr>
          <w:sz w:val="22"/>
          <w:szCs w:val="22"/>
        </w:rPr>
        <w:t xml:space="preserve">The Return Temperature Index (RTI) is a dimensionless measure of the actual </w:t>
      </w:r>
      <w:r w:rsidR="00175610">
        <w:rPr>
          <w:sz w:val="22"/>
          <w:szCs w:val="22"/>
        </w:rPr>
        <w:t>temperature differential in the equipment room as well as a measure of net by-pass or net re-circulated air in the data center</w:t>
      </w:r>
      <w:r w:rsidRPr="00175610">
        <w:rPr>
          <w:sz w:val="22"/>
          <w:szCs w:val="22"/>
        </w:rPr>
        <w:t xml:space="preserve">. 100% is generally the target; &gt;100% </w:t>
      </w:r>
      <w:r w:rsidRPr="00175610">
        <w:rPr>
          <w:sz w:val="22"/>
          <w:szCs w:val="22"/>
        </w:rPr>
        <w:sym w:font="Symbol" w:char="00AE"/>
      </w:r>
      <w:r w:rsidRPr="00175610">
        <w:rPr>
          <w:sz w:val="22"/>
          <w:szCs w:val="22"/>
        </w:rPr>
        <w:t xml:space="preserve"> recirculation air; &lt;100% </w:t>
      </w:r>
      <w:r w:rsidRPr="00175610">
        <w:rPr>
          <w:sz w:val="22"/>
          <w:szCs w:val="22"/>
        </w:rPr>
        <w:sym w:font="Symbol" w:char="00AE"/>
      </w:r>
      <w:r w:rsidRPr="00175610">
        <w:rPr>
          <w:sz w:val="22"/>
          <w:szCs w:val="22"/>
        </w:rPr>
        <w:t xml:space="preserve"> by-pass air.</w:t>
      </w:r>
    </w:p>
    <w:p w14:paraId="0AF4F232" w14:textId="77777777" w:rsidR="003A1C8E" w:rsidRPr="00175610" w:rsidRDefault="003A1C8E" w:rsidP="003A1C8E">
      <w:pPr>
        <w:jc w:val="both"/>
        <w:rPr>
          <w:sz w:val="22"/>
          <w:szCs w:val="22"/>
        </w:rPr>
      </w:pPr>
    </w:p>
    <w:p w14:paraId="64A62DD1" w14:textId="36D6043E" w:rsidR="00D923D8" w:rsidRDefault="00175610" w:rsidP="003A1C8E">
      <w:pPr>
        <w:rPr>
          <w:sz w:val="22"/>
          <w:szCs w:val="22"/>
        </w:rPr>
      </w:pPr>
      <w:r>
        <w:rPr>
          <w:sz w:val="22"/>
          <w:szCs w:val="22"/>
        </w:rPr>
        <w:t xml:space="preserve">Table </w:t>
      </w:r>
      <w:r w:rsidRPr="006B3956">
        <w:rPr>
          <w:sz w:val="22"/>
          <w:szCs w:val="22"/>
          <w:highlight w:val="yellow"/>
        </w:rPr>
        <w:t>6</w:t>
      </w:r>
      <w:r>
        <w:rPr>
          <w:sz w:val="22"/>
          <w:szCs w:val="22"/>
        </w:rPr>
        <w:t xml:space="preserve"> summarizes </w:t>
      </w:r>
      <w:r w:rsidR="00DA5130">
        <w:rPr>
          <w:sz w:val="22"/>
          <w:szCs w:val="22"/>
        </w:rPr>
        <w:t xml:space="preserve">and interprets </w:t>
      </w:r>
      <w:r>
        <w:rPr>
          <w:sz w:val="22"/>
          <w:szCs w:val="22"/>
        </w:rPr>
        <w:t>metrics</w:t>
      </w:r>
      <w:r w:rsidR="00DA5130">
        <w:rPr>
          <w:sz w:val="22"/>
          <w:szCs w:val="22"/>
        </w:rPr>
        <w:t xml:space="preserve"> calculated from data taken </w:t>
      </w:r>
      <w:r w:rsidR="00DA5130" w:rsidRPr="00DA5130">
        <w:rPr>
          <w:sz w:val="22"/>
          <w:szCs w:val="22"/>
          <w:highlight w:val="yellow"/>
        </w:rPr>
        <w:t>Month/Year.</w:t>
      </w:r>
    </w:p>
    <w:p w14:paraId="4B6DA0C1" w14:textId="77777777" w:rsidR="004D551B" w:rsidRDefault="004D551B" w:rsidP="003A1C8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912"/>
        <w:gridCol w:w="1072"/>
        <w:gridCol w:w="3100"/>
      </w:tblGrid>
      <w:tr w:rsidR="00D923D8" w:rsidRPr="00D923D8" w14:paraId="24637A3D" w14:textId="77777777" w:rsidTr="009A4C1B">
        <w:trPr>
          <w:trHeight w:val="345"/>
        </w:trPr>
        <w:tc>
          <w:tcPr>
            <w:tcW w:w="2130" w:type="pct"/>
            <w:shd w:val="clear" w:color="auto" w:fill="auto"/>
            <w:noWrap/>
            <w:vAlign w:val="center"/>
          </w:tcPr>
          <w:p w14:paraId="33AC9F47" w14:textId="77777777" w:rsidR="00D923D8" w:rsidRPr="009F723A" w:rsidRDefault="00D923D8" w:rsidP="00967FFD">
            <w:pPr>
              <w:rPr>
                <w:b/>
                <w:bCs/>
                <w:iCs/>
                <w:sz w:val="22"/>
                <w:szCs w:val="22"/>
              </w:rPr>
            </w:pPr>
            <w:r w:rsidRPr="009F723A">
              <w:rPr>
                <w:b/>
                <w:bCs/>
                <w:iCs/>
                <w:sz w:val="22"/>
                <w:szCs w:val="22"/>
              </w:rPr>
              <w:t>Metric Name</w:t>
            </w:r>
          </w:p>
        </w:tc>
        <w:tc>
          <w:tcPr>
            <w:tcW w:w="515" w:type="pct"/>
            <w:shd w:val="clear" w:color="auto" w:fill="auto"/>
            <w:vAlign w:val="center"/>
          </w:tcPr>
          <w:p w14:paraId="00672DD4" w14:textId="77777777" w:rsidR="00D923D8" w:rsidRPr="009F723A" w:rsidRDefault="00D923D8" w:rsidP="00967FFD">
            <w:pPr>
              <w:rPr>
                <w:b/>
                <w:bCs/>
                <w:iCs/>
                <w:sz w:val="22"/>
                <w:szCs w:val="22"/>
              </w:rPr>
            </w:pPr>
            <w:r w:rsidRPr="009F723A">
              <w:rPr>
                <w:b/>
                <w:bCs/>
                <w:iCs/>
                <w:sz w:val="22"/>
                <w:szCs w:val="22"/>
              </w:rPr>
              <w:t>Unit</w:t>
            </w:r>
          </w:p>
        </w:tc>
        <w:tc>
          <w:tcPr>
            <w:tcW w:w="605" w:type="pct"/>
            <w:shd w:val="clear" w:color="auto" w:fill="auto"/>
            <w:vAlign w:val="center"/>
          </w:tcPr>
          <w:p w14:paraId="1155D8FD" w14:textId="77777777" w:rsidR="00D923D8" w:rsidRPr="009F723A" w:rsidRDefault="00D923D8" w:rsidP="00967FFD">
            <w:pPr>
              <w:rPr>
                <w:b/>
                <w:bCs/>
                <w:iCs/>
                <w:sz w:val="22"/>
                <w:szCs w:val="22"/>
              </w:rPr>
            </w:pPr>
            <w:r w:rsidRPr="009F723A">
              <w:rPr>
                <w:b/>
                <w:bCs/>
                <w:iCs/>
                <w:sz w:val="22"/>
                <w:szCs w:val="22"/>
              </w:rPr>
              <w:t>Value</w:t>
            </w:r>
          </w:p>
        </w:tc>
        <w:tc>
          <w:tcPr>
            <w:tcW w:w="1750" w:type="pct"/>
            <w:shd w:val="clear" w:color="auto" w:fill="auto"/>
            <w:vAlign w:val="center"/>
          </w:tcPr>
          <w:p w14:paraId="25721384" w14:textId="77777777" w:rsidR="00D923D8" w:rsidRPr="009F723A" w:rsidRDefault="00D923D8" w:rsidP="00967FFD">
            <w:pPr>
              <w:rPr>
                <w:b/>
                <w:bCs/>
                <w:iCs/>
                <w:sz w:val="22"/>
                <w:szCs w:val="22"/>
              </w:rPr>
            </w:pPr>
            <w:r w:rsidRPr="009F723A">
              <w:rPr>
                <w:b/>
                <w:bCs/>
                <w:iCs/>
                <w:sz w:val="22"/>
                <w:szCs w:val="22"/>
              </w:rPr>
              <w:t>Interpretation</w:t>
            </w:r>
          </w:p>
        </w:tc>
      </w:tr>
      <w:tr w:rsidR="00D923D8" w:rsidRPr="00D923D8" w14:paraId="5BC216CB" w14:textId="77777777" w:rsidTr="007A6CEB">
        <w:trPr>
          <w:trHeight w:val="53"/>
        </w:trPr>
        <w:tc>
          <w:tcPr>
            <w:tcW w:w="2130" w:type="pct"/>
            <w:shd w:val="clear" w:color="auto" w:fill="auto"/>
          </w:tcPr>
          <w:p w14:paraId="3D80B1F8" w14:textId="77777777" w:rsidR="00D923D8" w:rsidRPr="009F723A" w:rsidRDefault="00D923D8" w:rsidP="00967FFD">
            <w:pPr>
              <w:rPr>
                <w:sz w:val="18"/>
                <w:szCs w:val="18"/>
              </w:rPr>
            </w:pPr>
            <w:r w:rsidRPr="009F723A">
              <w:rPr>
                <w:sz w:val="18"/>
                <w:szCs w:val="18"/>
                <w:highlight w:val="yellow"/>
              </w:rPr>
              <w:t>CRAC/CRAH/AHU</w:t>
            </w:r>
            <w:r w:rsidRPr="009F723A">
              <w:rPr>
                <w:sz w:val="18"/>
                <w:szCs w:val="18"/>
              </w:rPr>
              <w:t xml:space="preserve"> Temperature Differential</w:t>
            </w:r>
          </w:p>
        </w:tc>
        <w:tc>
          <w:tcPr>
            <w:tcW w:w="515" w:type="pct"/>
            <w:shd w:val="clear" w:color="auto" w:fill="auto"/>
          </w:tcPr>
          <w:p w14:paraId="0D383EA7" w14:textId="77777777" w:rsidR="00D923D8" w:rsidRPr="009F723A" w:rsidRDefault="00D923D8" w:rsidP="00967FFD">
            <w:pPr>
              <w:rPr>
                <w:sz w:val="18"/>
                <w:szCs w:val="18"/>
              </w:rPr>
            </w:pPr>
            <w:r w:rsidRPr="009F723A">
              <w:rPr>
                <w:sz w:val="18"/>
                <w:szCs w:val="18"/>
              </w:rPr>
              <w:t>F</w:t>
            </w:r>
          </w:p>
        </w:tc>
        <w:tc>
          <w:tcPr>
            <w:tcW w:w="605" w:type="pct"/>
            <w:shd w:val="clear" w:color="auto" w:fill="auto"/>
          </w:tcPr>
          <w:p w14:paraId="41C8520D" w14:textId="3C3B1F57" w:rsidR="00D923D8" w:rsidRPr="009F723A" w:rsidRDefault="003B3F31" w:rsidP="00967FFD">
            <w:pPr>
              <w:rPr>
                <w:sz w:val="18"/>
                <w:szCs w:val="18"/>
              </w:rPr>
            </w:pPr>
            <w:r>
              <w:rPr>
                <w:sz w:val="18"/>
                <w:szCs w:val="18"/>
                <w:highlight w:val="yellow"/>
              </w:rPr>
              <w:t xml:space="preserve"> </w:t>
            </w:r>
            <w:r w:rsidR="0048225F">
              <w:rPr>
                <w:sz w:val="18"/>
                <w:szCs w:val="18"/>
                <w:highlight w:val="yellow"/>
              </w:rPr>
              <w:t>x</w:t>
            </w:r>
          </w:p>
        </w:tc>
        <w:tc>
          <w:tcPr>
            <w:tcW w:w="1750" w:type="pct"/>
            <w:shd w:val="clear" w:color="auto" w:fill="auto"/>
          </w:tcPr>
          <w:p w14:paraId="3D009E34" w14:textId="111618EF" w:rsidR="00D923D8" w:rsidRPr="009F723A" w:rsidRDefault="00D923D8" w:rsidP="00967FFD">
            <w:pPr>
              <w:rPr>
                <w:sz w:val="18"/>
                <w:szCs w:val="18"/>
              </w:rPr>
            </w:pPr>
          </w:p>
        </w:tc>
      </w:tr>
      <w:tr w:rsidR="00D923D8" w:rsidRPr="00D923D8" w14:paraId="49B1DD60" w14:textId="77777777" w:rsidTr="007A6CEB">
        <w:trPr>
          <w:trHeight w:val="107"/>
        </w:trPr>
        <w:tc>
          <w:tcPr>
            <w:tcW w:w="2130" w:type="pct"/>
            <w:shd w:val="clear" w:color="auto" w:fill="auto"/>
          </w:tcPr>
          <w:p w14:paraId="25E8A119" w14:textId="77777777" w:rsidR="00D923D8" w:rsidRPr="009F723A" w:rsidRDefault="00D923D8" w:rsidP="00967FFD">
            <w:pPr>
              <w:rPr>
                <w:sz w:val="18"/>
                <w:szCs w:val="18"/>
              </w:rPr>
            </w:pPr>
            <w:r w:rsidRPr="009F723A">
              <w:rPr>
                <w:sz w:val="18"/>
                <w:szCs w:val="18"/>
              </w:rPr>
              <w:t>Average Rack Temperature Rise</w:t>
            </w:r>
          </w:p>
        </w:tc>
        <w:tc>
          <w:tcPr>
            <w:tcW w:w="515" w:type="pct"/>
            <w:shd w:val="clear" w:color="auto" w:fill="auto"/>
          </w:tcPr>
          <w:p w14:paraId="6878F9E5" w14:textId="77777777" w:rsidR="00D923D8" w:rsidRPr="009F723A" w:rsidRDefault="00D923D8" w:rsidP="00967FFD">
            <w:pPr>
              <w:rPr>
                <w:sz w:val="18"/>
                <w:szCs w:val="18"/>
              </w:rPr>
            </w:pPr>
            <w:r w:rsidRPr="009F723A">
              <w:rPr>
                <w:sz w:val="18"/>
                <w:szCs w:val="18"/>
              </w:rPr>
              <w:t>F</w:t>
            </w:r>
          </w:p>
        </w:tc>
        <w:tc>
          <w:tcPr>
            <w:tcW w:w="605" w:type="pct"/>
            <w:shd w:val="clear" w:color="auto" w:fill="auto"/>
          </w:tcPr>
          <w:p w14:paraId="0417C0C7" w14:textId="37B245EC"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tcPr>
          <w:p w14:paraId="1E4B4C11" w14:textId="2F055F00" w:rsidR="00D923D8" w:rsidRPr="009F723A" w:rsidRDefault="00D923D8" w:rsidP="00967FFD">
            <w:pPr>
              <w:rPr>
                <w:sz w:val="18"/>
                <w:szCs w:val="18"/>
              </w:rPr>
            </w:pPr>
          </w:p>
        </w:tc>
      </w:tr>
      <w:tr w:rsidR="00D923D8" w:rsidRPr="00D923D8" w14:paraId="21496F1C" w14:textId="77777777" w:rsidTr="007A6CEB">
        <w:trPr>
          <w:trHeight w:val="341"/>
        </w:trPr>
        <w:tc>
          <w:tcPr>
            <w:tcW w:w="2130" w:type="pct"/>
            <w:shd w:val="clear" w:color="auto" w:fill="auto"/>
          </w:tcPr>
          <w:p w14:paraId="0E90D17C" w14:textId="17CDC10E" w:rsidR="00D923D8" w:rsidRPr="009F723A" w:rsidRDefault="00D923D8" w:rsidP="00967FFD">
            <w:pPr>
              <w:rPr>
                <w:sz w:val="18"/>
                <w:szCs w:val="18"/>
              </w:rPr>
            </w:pPr>
            <w:r w:rsidRPr="009F723A">
              <w:rPr>
                <w:sz w:val="18"/>
                <w:szCs w:val="18"/>
              </w:rPr>
              <w:t>Return Temperature Index (RTI), measure of by-pass air and recirculation air</w:t>
            </w:r>
          </w:p>
        </w:tc>
        <w:tc>
          <w:tcPr>
            <w:tcW w:w="515" w:type="pct"/>
            <w:shd w:val="clear" w:color="auto" w:fill="auto"/>
          </w:tcPr>
          <w:p w14:paraId="64C13286" w14:textId="77777777" w:rsidR="00D923D8" w:rsidRPr="009F723A" w:rsidRDefault="00D923D8" w:rsidP="00967FFD">
            <w:pPr>
              <w:rPr>
                <w:sz w:val="18"/>
                <w:szCs w:val="18"/>
              </w:rPr>
            </w:pPr>
            <w:r w:rsidRPr="009F723A">
              <w:rPr>
                <w:sz w:val="18"/>
                <w:szCs w:val="18"/>
              </w:rPr>
              <w:t>%</w:t>
            </w:r>
          </w:p>
        </w:tc>
        <w:tc>
          <w:tcPr>
            <w:tcW w:w="605" w:type="pct"/>
            <w:shd w:val="clear" w:color="auto" w:fill="auto"/>
          </w:tcPr>
          <w:p w14:paraId="62BC2C86" w14:textId="755870FA"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tcPr>
          <w:p w14:paraId="6804F575" w14:textId="4304ED03" w:rsidR="00D923D8" w:rsidRPr="009F723A" w:rsidRDefault="00D923D8" w:rsidP="00967FFD">
            <w:pPr>
              <w:rPr>
                <w:sz w:val="18"/>
                <w:szCs w:val="18"/>
              </w:rPr>
            </w:pPr>
          </w:p>
        </w:tc>
      </w:tr>
      <w:tr w:rsidR="00D923D8" w:rsidRPr="00D923D8" w14:paraId="45271417" w14:textId="77777777" w:rsidTr="007A6CEB">
        <w:trPr>
          <w:trHeight w:val="179"/>
        </w:trPr>
        <w:tc>
          <w:tcPr>
            <w:tcW w:w="2130" w:type="pct"/>
            <w:shd w:val="clear" w:color="auto" w:fill="auto"/>
          </w:tcPr>
          <w:p w14:paraId="1EA275CE" w14:textId="4B740728" w:rsidR="00D923D8" w:rsidRPr="009F723A" w:rsidRDefault="00D923D8" w:rsidP="00967FFD">
            <w:pPr>
              <w:rPr>
                <w:sz w:val="18"/>
                <w:szCs w:val="18"/>
              </w:rPr>
            </w:pPr>
            <w:r w:rsidRPr="009F723A">
              <w:rPr>
                <w:sz w:val="18"/>
                <w:szCs w:val="18"/>
              </w:rPr>
              <w:t>Rack Intake Temperatures (average)</w:t>
            </w:r>
          </w:p>
        </w:tc>
        <w:tc>
          <w:tcPr>
            <w:tcW w:w="515" w:type="pct"/>
            <w:shd w:val="clear" w:color="auto" w:fill="auto"/>
          </w:tcPr>
          <w:p w14:paraId="598E1C27" w14:textId="77777777" w:rsidR="00D923D8" w:rsidRPr="009F723A" w:rsidRDefault="00D923D8" w:rsidP="00967FFD">
            <w:pPr>
              <w:rPr>
                <w:sz w:val="18"/>
                <w:szCs w:val="18"/>
              </w:rPr>
            </w:pPr>
            <w:r w:rsidRPr="009F723A">
              <w:rPr>
                <w:sz w:val="18"/>
                <w:szCs w:val="18"/>
              </w:rPr>
              <w:t>F</w:t>
            </w:r>
          </w:p>
        </w:tc>
        <w:tc>
          <w:tcPr>
            <w:tcW w:w="605" w:type="pct"/>
            <w:shd w:val="clear" w:color="auto" w:fill="auto"/>
          </w:tcPr>
          <w:p w14:paraId="3BDAE679" w14:textId="7854F5AD"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tcPr>
          <w:p w14:paraId="57C895C9" w14:textId="35316538" w:rsidR="00D923D8" w:rsidRPr="009F723A" w:rsidRDefault="00D923D8" w:rsidP="00967FFD">
            <w:pPr>
              <w:rPr>
                <w:sz w:val="18"/>
                <w:szCs w:val="18"/>
              </w:rPr>
            </w:pPr>
          </w:p>
        </w:tc>
      </w:tr>
      <w:tr w:rsidR="00D923D8" w:rsidRPr="00D923D8" w14:paraId="59FBECBA" w14:textId="77777777" w:rsidTr="007A6CEB">
        <w:trPr>
          <w:trHeight w:val="773"/>
        </w:trPr>
        <w:tc>
          <w:tcPr>
            <w:tcW w:w="2130" w:type="pct"/>
            <w:shd w:val="clear" w:color="auto" w:fill="auto"/>
          </w:tcPr>
          <w:p w14:paraId="6B956D06" w14:textId="3DB105B0" w:rsidR="00D923D8" w:rsidRPr="007A6CEB" w:rsidRDefault="00D923D8" w:rsidP="007A6CEB">
            <w:pPr>
              <w:pStyle w:val="Default"/>
              <w:rPr>
                <w:rFonts w:ascii="Times New Roman" w:hAnsi="Times New Roman" w:cs="Times New Roman"/>
                <w:sz w:val="18"/>
                <w:szCs w:val="18"/>
              </w:rPr>
            </w:pPr>
            <w:r w:rsidRPr="009F723A">
              <w:rPr>
                <w:rFonts w:ascii="Times New Roman" w:hAnsi="Times New Roman" w:cs="Times New Roman"/>
                <w:sz w:val="18"/>
                <w:szCs w:val="18"/>
              </w:rPr>
              <w:t>Rack Cooling Index-High (RCI</w:t>
            </w:r>
            <w:r w:rsidRPr="009F723A">
              <w:rPr>
                <w:rFonts w:ascii="Times New Roman" w:hAnsi="Times New Roman" w:cs="Times New Roman"/>
                <w:sz w:val="18"/>
                <w:szCs w:val="18"/>
                <w:vertAlign w:val="subscript"/>
              </w:rPr>
              <w:t>HI</w:t>
            </w:r>
            <w:r w:rsidRPr="009F723A">
              <w:rPr>
                <w:rFonts w:ascii="Times New Roman" w:hAnsi="Times New Roman" w:cs="Times New Roman"/>
                <w:sz w:val="18"/>
                <w:szCs w:val="18"/>
              </w:rPr>
              <w:t xml:space="preserve">), measure of conformance with ASHRAE recommended intake temperature specification, high end of temperature range </w:t>
            </w:r>
          </w:p>
        </w:tc>
        <w:tc>
          <w:tcPr>
            <w:tcW w:w="515" w:type="pct"/>
            <w:shd w:val="clear" w:color="auto" w:fill="auto"/>
          </w:tcPr>
          <w:p w14:paraId="5E847D48" w14:textId="77777777" w:rsidR="00D923D8" w:rsidRPr="009F723A" w:rsidRDefault="00D923D8" w:rsidP="00967FFD">
            <w:pPr>
              <w:rPr>
                <w:sz w:val="18"/>
                <w:szCs w:val="18"/>
              </w:rPr>
            </w:pPr>
            <w:r w:rsidRPr="009F723A">
              <w:rPr>
                <w:sz w:val="18"/>
                <w:szCs w:val="18"/>
              </w:rPr>
              <w:t>%</w:t>
            </w:r>
          </w:p>
        </w:tc>
        <w:tc>
          <w:tcPr>
            <w:tcW w:w="605" w:type="pct"/>
            <w:shd w:val="clear" w:color="auto" w:fill="auto"/>
          </w:tcPr>
          <w:p w14:paraId="1BC727F9" w14:textId="3F9CC789"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tcPr>
          <w:p w14:paraId="425535C0" w14:textId="01A86B84" w:rsidR="00D923D8" w:rsidRPr="009F723A" w:rsidRDefault="00D923D8" w:rsidP="00967FFD">
            <w:pPr>
              <w:rPr>
                <w:sz w:val="18"/>
                <w:szCs w:val="18"/>
              </w:rPr>
            </w:pPr>
          </w:p>
        </w:tc>
      </w:tr>
      <w:tr w:rsidR="00D923D8" w:rsidRPr="00D923D8" w14:paraId="71BC73DA" w14:textId="77777777" w:rsidTr="009A4C1B">
        <w:trPr>
          <w:trHeight w:val="480"/>
        </w:trPr>
        <w:tc>
          <w:tcPr>
            <w:tcW w:w="2130" w:type="pct"/>
            <w:shd w:val="clear" w:color="auto" w:fill="auto"/>
          </w:tcPr>
          <w:p w14:paraId="533DB682" w14:textId="4B340E39" w:rsidR="00D923D8" w:rsidRPr="007A6CEB" w:rsidRDefault="009A4C1B" w:rsidP="007A6CEB">
            <w:pPr>
              <w:pStyle w:val="Default"/>
              <w:rPr>
                <w:rFonts w:ascii="Times New Roman" w:hAnsi="Times New Roman" w:cs="Times New Roman"/>
                <w:sz w:val="18"/>
                <w:szCs w:val="18"/>
              </w:rPr>
            </w:pPr>
            <w:r w:rsidRPr="009F723A">
              <w:rPr>
                <w:rFonts w:ascii="Times New Roman" w:hAnsi="Times New Roman" w:cs="Times New Roman"/>
                <w:sz w:val="18"/>
                <w:szCs w:val="18"/>
              </w:rPr>
              <w:t>Rack Cooling Index-Low (RCI</w:t>
            </w:r>
            <w:r w:rsidRPr="009F723A">
              <w:rPr>
                <w:rFonts w:ascii="Times New Roman" w:hAnsi="Times New Roman" w:cs="Times New Roman"/>
                <w:sz w:val="18"/>
                <w:szCs w:val="18"/>
                <w:vertAlign w:val="subscript"/>
              </w:rPr>
              <w:t>LO</w:t>
            </w:r>
            <w:r w:rsidRPr="009F723A">
              <w:rPr>
                <w:rFonts w:ascii="Times New Roman" w:hAnsi="Times New Roman" w:cs="Times New Roman"/>
                <w:sz w:val="18"/>
                <w:szCs w:val="18"/>
              </w:rPr>
              <w:t xml:space="preserve">), measure of conformance with ASHRAE recommended intake temperature specification, low end of temperature range </w:t>
            </w:r>
          </w:p>
        </w:tc>
        <w:tc>
          <w:tcPr>
            <w:tcW w:w="515" w:type="pct"/>
            <w:shd w:val="clear" w:color="auto" w:fill="auto"/>
          </w:tcPr>
          <w:p w14:paraId="018F80DB" w14:textId="4059CEB5" w:rsidR="00D923D8" w:rsidRPr="009F723A" w:rsidRDefault="009A4C1B" w:rsidP="00967FFD">
            <w:pPr>
              <w:rPr>
                <w:sz w:val="18"/>
                <w:szCs w:val="18"/>
              </w:rPr>
            </w:pPr>
            <w:r w:rsidRPr="009F723A">
              <w:rPr>
                <w:sz w:val="18"/>
                <w:szCs w:val="18"/>
              </w:rPr>
              <w:t>%</w:t>
            </w:r>
          </w:p>
        </w:tc>
        <w:tc>
          <w:tcPr>
            <w:tcW w:w="605" w:type="pct"/>
            <w:shd w:val="clear" w:color="auto" w:fill="auto"/>
          </w:tcPr>
          <w:p w14:paraId="794F0D0C" w14:textId="1229CB51"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tcPr>
          <w:p w14:paraId="68B48E1A" w14:textId="0C4301CA" w:rsidR="00D923D8" w:rsidRPr="009F723A" w:rsidRDefault="00D923D8" w:rsidP="00967FFD">
            <w:pPr>
              <w:rPr>
                <w:sz w:val="18"/>
                <w:szCs w:val="18"/>
              </w:rPr>
            </w:pPr>
          </w:p>
        </w:tc>
      </w:tr>
      <w:tr w:rsidR="00D923D8" w:rsidRPr="00D923D8" w14:paraId="5A506DE9" w14:textId="77777777" w:rsidTr="007A6CEB">
        <w:trPr>
          <w:trHeight w:val="40"/>
        </w:trPr>
        <w:tc>
          <w:tcPr>
            <w:tcW w:w="2130" w:type="pct"/>
            <w:shd w:val="clear" w:color="auto" w:fill="auto"/>
          </w:tcPr>
          <w:p w14:paraId="7C5A2BBA" w14:textId="77777777" w:rsidR="00D923D8" w:rsidRPr="009F723A" w:rsidRDefault="00D923D8" w:rsidP="00967FFD">
            <w:pPr>
              <w:rPr>
                <w:sz w:val="18"/>
                <w:szCs w:val="18"/>
              </w:rPr>
            </w:pPr>
            <w:r w:rsidRPr="009F723A">
              <w:rPr>
                <w:sz w:val="18"/>
                <w:szCs w:val="18"/>
              </w:rPr>
              <w:t>Airflow Efficiency</w:t>
            </w:r>
          </w:p>
        </w:tc>
        <w:tc>
          <w:tcPr>
            <w:tcW w:w="515" w:type="pct"/>
            <w:shd w:val="clear" w:color="auto" w:fill="auto"/>
          </w:tcPr>
          <w:p w14:paraId="2A4C807F" w14:textId="77777777" w:rsidR="00D923D8" w:rsidRPr="009F723A" w:rsidRDefault="00D923D8" w:rsidP="00967FFD">
            <w:pPr>
              <w:rPr>
                <w:sz w:val="18"/>
                <w:szCs w:val="18"/>
              </w:rPr>
            </w:pPr>
            <w:r w:rsidRPr="009F723A">
              <w:rPr>
                <w:sz w:val="18"/>
                <w:szCs w:val="18"/>
              </w:rPr>
              <w:t>W/cfm</w:t>
            </w:r>
          </w:p>
        </w:tc>
        <w:tc>
          <w:tcPr>
            <w:tcW w:w="605" w:type="pct"/>
            <w:shd w:val="clear" w:color="auto" w:fill="auto"/>
          </w:tcPr>
          <w:p w14:paraId="53EA60C7" w14:textId="35F90CF8"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tcPr>
          <w:p w14:paraId="618F878F" w14:textId="5636B823" w:rsidR="00D923D8" w:rsidRPr="009F723A" w:rsidRDefault="00D923D8" w:rsidP="00967FFD">
            <w:pPr>
              <w:rPr>
                <w:sz w:val="18"/>
                <w:szCs w:val="18"/>
              </w:rPr>
            </w:pPr>
          </w:p>
        </w:tc>
      </w:tr>
      <w:tr w:rsidR="00D923D8" w:rsidRPr="00D923D8" w14:paraId="4738F5E3" w14:textId="77777777" w:rsidTr="007A6CEB">
        <w:trPr>
          <w:trHeight w:val="62"/>
        </w:trPr>
        <w:tc>
          <w:tcPr>
            <w:tcW w:w="2130" w:type="pct"/>
            <w:shd w:val="clear" w:color="auto" w:fill="auto"/>
          </w:tcPr>
          <w:p w14:paraId="324C6BE6" w14:textId="5B15E6B7" w:rsidR="00D923D8" w:rsidRPr="009F723A" w:rsidRDefault="00D923D8" w:rsidP="00967FFD">
            <w:pPr>
              <w:rPr>
                <w:sz w:val="18"/>
                <w:szCs w:val="18"/>
              </w:rPr>
            </w:pPr>
            <w:r w:rsidRPr="009F723A">
              <w:rPr>
                <w:sz w:val="18"/>
                <w:szCs w:val="18"/>
              </w:rPr>
              <w:t xml:space="preserve">Ratio of Total </w:t>
            </w:r>
            <w:r w:rsidRPr="009F723A">
              <w:rPr>
                <w:sz w:val="18"/>
                <w:szCs w:val="18"/>
                <w:highlight w:val="yellow"/>
              </w:rPr>
              <w:t>System</w:t>
            </w:r>
            <w:r w:rsidR="009A4C1B" w:rsidRPr="009F723A">
              <w:rPr>
                <w:sz w:val="18"/>
                <w:szCs w:val="18"/>
                <w:highlight w:val="yellow"/>
              </w:rPr>
              <w:t>/CRAH</w:t>
            </w:r>
            <w:r w:rsidRPr="009F723A">
              <w:rPr>
                <w:sz w:val="18"/>
                <w:szCs w:val="18"/>
              </w:rPr>
              <w:t xml:space="preserve"> Flow to Total Rack Flow</w:t>
            </w:r>
          </w:p>
        </w:tc>
        <w:tc>
          <w:tcPr>
            <w:tcW w:w="515" w:type="pct"/>
            <w:shd w:val="clear" w:color="auto" w:fill="auto"/>
          </w:tcPr>
          <w:p w14:paraId="38D412F3" w14:textId="77777777" w:rsidR="00D923D8" w:rsidRPr="009F723A" w:rsidRDefault="00D923D8" w:rsidP="00967FFD">
            <w:pPr>
              <w:rPr>
                <w:sz w:val="18"/>
                <w:szCs w:val="18"/>
              </w:rPr>
            </w:pPr>
            <w:r w:rsidRPr="009F723A">
              <w:rPr>
                <w:sz w:val="18"/>
                <w:szCs w:val="18"/>
              </w:rPr>
              <w:t>None</w:t>
            </w:r>
          </w:p>
        </w:tc>
        <w:tc>
          <w:tcPr>
            <w:tcW w:w="605" w:type="pct"/>
            <w:shd w:val="clear" w:color="auto" w:fill="auto"/>
          </w:tcPr>
          <w:p w14:paraId="3AE7B730" w14:textId="1B1766CB"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vAlign w:val="bottom"/>
          </w:tcPr>
          <w:p w14:paraId="666B8E24" w14:textId="594F6731" w:rsidR="00D923D8" w:rsidRPr="009F723A" w:rsidRDefault="00D923D8" w:rsidP="00967FFD">
            <w:pPr>
              <w:rPr>
                <w:sz w:val="18"/>
                <w:szCs w:val="18"/>
              </w:rPr>
            </w:pPr>
          </w:p>
        </w:tc>
      </w:tr>
      <w:tr w:rsidR="00D923D8" w:rsidRPr="00D923D8" w14:paraId="3C31FB92" w14:textId="77777777" w:rsidTr="009A4C1B">
        <w:trPr>
          <w:trHeight w:val="255"/>
        </w:trPr>
        <w:tc>
          <w:tcPr>
            <w:tcW w:w="2130" w:type="pct"/>
            <w:shd w:val="clear" w:color="auto" w:fill="auto"/>
          </w:tcPr>
          <w:p w14:paraId="4F332E2B" w14:textId="77777777" w:rsidR="00D923D8" w:rsidRPr="009F723A" w:rsidRDefault="00D923D8" w:rsidP="00967FFD">
            <w:pPr>
              <w:rPr>
                <w:sz w:val="18"/>
                <w:szCs w:val="18"/>
              </w:rPr>
            </w:pPr>
            <w:r w:rsidRPr="009F723A">
              <w:rPr>
                <w:sz w:val="18"/>
                <w:szCs w:val="18"/>
              </w:rPr>
              <w:t>Fan motor efficiency</w:t>
            </w:r>
          </w:p>
        </w:tc>
        <w:tc>
          <w:tcPr>
            <w:tcW w:w="515" w:type="pct"/>
            <w:shd w:val="clear" w:color="auto" w:fill="auto"/>
          </w:tcPr>
          <w:p w14:paraId="797F04C1" w14:textId="77777777" w:rsidR="00D923D8" w:rsidRPr="009F723A" w:rsidRDefault="00D923D8" w:rsidP="00967FFD">
            <w:pPr>
              <w:rPr>
                <w:sz w:val="18"/>
                <w:szCs w:val="18"/>
              </w:rPr>
            </w:pPr>
            <w:r w:rsidRPr="009F723A">
              <w:rPr>
                <w:sz w:val="18"/>
                <w:szCs w:val="18"/>
              </w:rPr>
              <w:t>%</w:t>
            </w:r>
          </w:p>
        </w:tc>
        <w:tc>
          <w:tcPr>
            <w:tcW w:w="605" w:type="pct"/>
            <w:shd w:val="clear" w:color="auto" w:fill="auto"/>
          </w:tcPr>
          <w:p w14:paraId="18E657DA" w14:textId="0662B13F"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vAlign w:val="bottom"/>
          </w:tcPr>
          <w:p w14:paraId="57C503DC" w14:textId="55CDF57C" w:rsidR="00D923D8" w:rsidRPr="009F723A" w:rsidRDefault="00D923D8" w:rsidP="00967FFD">
            <w:pPr>
              <w:rPr>
                <w:sz w:val="18"/>
                <w:szCs w:val="18"/>
              </w:rPr>
            </w:pPr>
          </w:p>
        </w:tc>
      </w:tr>
      <w:tr w:rsidR="00D923D8" w:rsidRPr="00D923D8" w14:paraId="18789A0F" w14:textId="77777777" w:rsidTr="007A6CEB">
        <w:trPr>
          <w:trHeight w:val="89"/>
        </w:trPr>
        <w:tc>
          <w:tcPr>
            <w:tcW w:w="2130" w:type="pct"/>
            <w:shd w:val="clear" w:color="auto" w:fill="auto"/>
          </w:tcPr>
          <w:p w14:paraId="0963178A" w14:textId="77777777" w:rsidR="00D923D8" w:rsidRPr="009F723A" w:rsidRDefault="00D923D8" w:rsidP="00967FFD">
            <w:pPr>
              <w:rPr>
                <w:sz w:val="18"/>
                <w:szCs w:val="18"/>
              </w:rPr>
            </w:pPr>
            <w:r w:rsidRPr="009F723A">
              <w:rPr>
                <w:sz w:val="18"/>
                <w:szCs w:val="18"/>
              </w:rPr>
              <w:t>Econ Utilization Factor</w:t>
            </w:r>
          </w:p>
        </w:tc>
        <w:tc>
          <w:tcPr>
            <w:tcW w:w="515" w:type="pct"/>
            <w:shd w:val="clear" w:color="auto" w:fill="auto"/>
          </w:tcPr>
          <w:p w14:paraId="398AC24E" w14:textId="77777777" w:rsidR="00D923D8" w:rsidRPr="009F723A" w:rsidRDefault="00D923D8" w:rsidP="00967FFD">
            <w:pPr>
              <w:rPr>
                <w:sz w:val="18"/>
                <w:szCs w:val="18"/>
              </w:rPr>
            </w:pPr>
            <w:r w:rsidRPr="009F723A">
              <w:rPr>
                <w:sz w:val="18"/>
                <w:szCs w:val="18"/>
              </w:rPr>
              <w:t>%</w:t>
            </w:r>
          </w:p>
        </w:tc>
        <w:tc>
          <w:tcPr>
            <w:tcW w:w="605" w:type="pct"/>
            <w:shd w:val="clear" w:color="auto" w:fill="auto"/>
          </w:tcPr>
          <w:p w14:paraId="1B4CF484" w14:textId="28186BF2" w:rsidR="00D923D8" w:rsidRPr="009F723A" w:rsidRDefault="00D923D8" w:rsidP="00967FFD">
            <w:pPr>
              <w:rPr>
                <w:sz w:val="18"/>
                <w:szCs w:val="18"/>
              </w:rPr>
            </w:pPr>
            <w:r w:rsidRPr="009F723A">
              <w:rPr>
                <w:sz w:val="18"/>
                <w:szCs w:val="18"/>
              </w:rPr>
              <w:t> </w:t>
            </w:r>
            <w:r w:rsidR="0048225F">
              <w:rPr>
                <w:sz w:val="18"/>
                <w:szCs w:val="18"/>
                <w:highlight w:val="yellow"/>
              </w:rPr>
              <w:t>x</w:t>
            </w:r>
          </w:p>
        </w:tc>
        <w:tc>
          <w:tcPr>
            <w:tcW w:w="1750" w:type="pct"/>
            <w:shd w:val="clear" w:color="auto" w:fill="auto"/>
            <w:vAlign w:val="bottom"/>
          </w:tcPr>
          <w:p w14:paraId="724D3F0C" w14:textId="448C4F60" w:rsidR="00D923D8" w:rsidRPr="009F723A" w:rsidRDefault="00D923D8" w:rsidP="00967FFD">
            <w:pPr>
              <w:rPr>
                <w:sz w:val="18"/>
                <w:szCs w:val="18"/>
              </w:rPr>
            </w:pPr>
          </w:p>
        </w:tc>
      </w:tr>
    </w:tbl>
    <w:p w14:paraId="56389A58" w14:textId="45DC7DE1" w:rsidR="00D923D8" w:rsidRPr="004D551B" w:rsidRDefault="009A4C1B" w:rsidP="004D551B">
      <w:pPr>
        <w:jc w:val="center"/>
        <w:rPr>
          <w:b/>
          <w:sz w:val="22"/>
          <w:szCs w:val="22"/>
        </w:rPr>
      </w:pPr>
      <w:r>
        <w:rPr>
          <w:b/>
          <w:sz w:val="22"/>
          <w:szCs w:val="22"/>
        </w:rPr>
        <w:t xml:space="preserve">Table </w:t>
      </w:r>
      <w:r w:rsidRPr="009F723A">
        <w:rPr>
          <w:b/>
          <w:sz w:val="22"/>
          <w:szCs w:val="22"/>
          <w:highlight w:val="yellow"/>
        </w:rPr>
        <w:t>6</w:t>
      </w:r>
      <w:r>
        <w:rPr>
          <w:b/>
          <w:sz w:val="22"/>
          <w:szCs w:val="22"/>
        </w:rPr>
        <w:t xml:space="preserve"> – Air Management and Air Distribution Metrics</w:t>
      </w:r>
    </w:p>
    <w:p w14:paraId="6F8CD8E0" w14:textId="0968FE0B" w:rsidR="009A4C1B" w:rsidRDefault="009A4C1B" w:rsidP="009A4C1B">
      <w:pPr>
        <w:pStyle w:val="Heading3"/>
      </w:pPr>
      <w:r>
        <w:t>Cooling Plant Metrics</w:t>
      </w:r>
    </w:p>
    <w:p w14:paraId="48FB5546" w14:textId="47BCEAF9" w:rsidR="00967FFD" w:rsidRDefault="00967FFD" w:rsidP="00967FFD">
      <w:pPr>
        <w:rPr>
          <w:sz w:val="22"/>
          <w:szCs w:val="22"/>
        </w:rPr>
      </w:pPr>
      <w:r w:rsidRPr="00BA1BAF">
        <w:rPr>
          <w:sz w:val="22"/>
          <w:szCs w:val="22"/>
          <w:highlight w:val="yellow"/>
        </w:rPr>
        <w:t>This section is relevant only if the data center is served by a cooling plant</w:t>
      </w:r>
      <w:r w:rsidR="00860CFF" w:rsidRPr="00860CFF">
        <w:rPr>
          <w:sz w:val="22"/>
          <w:szCs w:val="22"/>
          <w:highlight w:val="yellow"/>
        </w:rPr>
        <w:t>, if not delete</w:t>
      </w:r>
      <w:r w:rsidR="00860CFF">
        <w:rPr>
          <w:sz w:val="22"/>
          <w:szCs w:val="22"/>
          <w:highlight w:val="yellow"/>
        </w:rPr>
        <w:t xml:space="preserve"> </w:t>
      </w:r>
      <w:r w:rsidR="004D551B">
        <w:rPr>
          <w:sz w:val="22"/>
          <w:szCs w:val="22"/>
          <w:highlight w:val="yellow"/>
        </w:rPr>
        <w:t xml:space="preserve">this entire section </w:t>
      </w:r>
      <w:r w:rsidR="00860CFF">
        <w:rPr>
          <w:sz w:val="22"/>
          <w:szCs w:val="22"/>
          <w:highlight w:val="yellow"/>
        </w:rPr>
        <w:t>and remember to align table and figure numbers</w:t>
      </w:r>
      <w:r w:rsidRPr="00860CFF">
        <w:rPr>
          <w:sz w:val="22"/>
          <w:szCs w:val="22"/>
          <w:highlight w:val="yellow"/>
        </w:rPr>
        <w:t>.</w:t>
      </w:r>
      <w:r w:rsidR="00EF7693">
        <w:rPr>
          <w:sz w:val="22"/>
          <w:szCs w:val="22"/>
        </w:rPr>
        <w:t xml:space="preserve"> Table </w:t>
      </w:r>
      <w:r w:rsidR="00EF7693" w:rsidRPr="009F723A">
        <w:rPr>
          <w:sz w:val="22"/>
          <w:szCs w:val="22"/>
          <w:highlight w:val="yellow"/>
        </w:rPr>
        <w:t>7</w:t>
      </w:r>
      <w:r w:rsidR="00EF7693">
        <w:rPr>
          <w:sz w:val="22"/>
          <w:szCs w:val="22"/>
        </w:rPr>
        <w:t xml:space="preserve"> summarizes the cooling plant metrics and Figure </w:t>
      </w:r>
      <w:r w:rsidR="00EF7693" w:rsidRPr="009F723A">
        <w:rPr>
          <w:sz w:val="22"/>
          <w:szCs w:val="22"/>
          <w:highlight w:val="yellow"/>
        </w:rPr>
        <w:t>4</w:t>
      </w:r>
      <w:r w:rsidR="00EF7693">
        <w:rPr>
          <w:sz w:val="22"/>
          <w:szCs w:val="22"/>
        </w:rPr>
        <w:t xml:space="preserve"> compares the </w:t>
      </w:r>
      <w:r w:rsidR="00860CFF">
        <w:rPr>
          <w:sz w:val="22"/>
          <w:szCs w:val="22"/>
        </w:rPr>
        <w:t>chiller plant wires to water efficiency and chiller rated e</w:t>
      </w:r>
      <w:r w:rsidR="00EF7693" w:rsidRPr="00860CFF">
        <w:rPr>
          <w:sz w:val="22"/>
          <w:szCs w:val="22"/>
        </w:rPr>
        <w:t>fficiency</w:t>
      </w:r>
      <w:r w:rsidR="00860CFF">
        <w:rPr>
          <w:sz w:val="22"/>
          <w:szCs w:val="22"/>
        </w:rPr>
        <w:t xml:space="preserve"> at d</w:t>
      </w:r>
      <w:r w:rsidR="00EF7693" w:rsidRPr="00860CFF">
        <w:rPr>
          <w:sz w:val="22"/>
          <w:szCs w:val="22"/>
        </w:rPr>
        <w:t>esign to other data centers.</w:t>
      </w:r>
    </w:p>
    <w:p w14:paraId="0EE514A9" w14:textId="77777777" w:rsidR="00EF7693" w:rsidRDefault="00EF7693" w:rsidP="00967FF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128"/>
        <w:gridCol w:w="962"/>
        <w:gridCol w:w="3027"/>
      </w:tblGrid>
      <w:tr w:rsidR="00EF7693" w:rsidRPr="00BA1BAF" w14:paraId="64567939" w14:textId="77777777" w:rsidTr="00EF7693">
        <w:trPr>
          <w:trHeight w:val="345"/>
        </w:trPr>
        <w:tc>
          <w:tcPr>
            <w:tcW w:w="2111" w:type="pct"/>
            <w:shd w:val="clear" w:color="auto" w:fill="auto"/>
            <w:noWrap/>
            <w:vAlign w:val="center"/>
          </w:tcPr>
          <w:p w14:paraId="75813458" w14:textId="77777777" w:rsidR="00EF7693" w:rsidRPr="009F723A" w:rsidRDefault="00EF7693" w:rsidP="00EF7693">
            <w:pPr>
              <w:rPr>
                <w:b/>
                <w:bCs/>
                <w:iCs/>
                <w:sz w:val="22"/>
                <w:szCs w:val="22"/>
              </w:rPr>
            </w:pPr>
            <w:r w:rsidRPr="009F723A">
              <w:rPr>
                <w:b/>
                <w:bCs/>
                <w:iCs/>
                <w:sz w:val="22"/>
                <w:szCs w:val="22"/>
              </w:rPr>
              <w:t>Metric Name</w:t>
            </w:r>
          </w:p>
        </w:tc>
        <w:tc>
          <w:tcPr>
            <w:tcW w:w="637" w:type="pct"/>
            <w:shd w:val="clear" w:color="auto" w:fill="auto"/>
            <w:vAlign w:val="center"/>
          </w:tcPr>
          <w:p w14:paraId="78C219B6" w14:textId="77777777" w:rsidR="00EF7693" w:rsidRPr="009F723A" w:rsidRDefault="00EF7693" w:rsidP="00EF7693">
            <w:pPr>
              <w:rPr>
                <w:b/>
                <w:bCs/>
                <w:iCs/>
                <w:sz w:val="22"/>
                <w:szCs w:val="22"/>
              </w:rPr>
            </w:pPr>
            <w:r w:rsidRPr="009F723A">
              <w:rPr>
                <w:b/>
                <w:bCs/>
                <w:iCs/>
                <w:sz w:val="22"/>
                <w:szCs w:val="22"/>
              </w:rPr>
              <w:t>Unit</w:t>
            </w:r>
          </w:p>
        </w:tc>
        <w:tc>
          <w:tcPr>
            <w:tcW w:w="543" w:type="pct"/>
            <w:shd w:val="clear" w:color="auto" w:fill="auto"/>
            <w:vAlign w:val="center"/>
          </w:tcPr>
          <w:p w14:paraId="49616429" w14:textId="77777777" w:rsidR="00EF7693" w:rsidRPr="009F723A" w:rsidRDefault="00EF7693" w:rsidP="00EF7693">
            <w:pPr>
              <w:rPr>
                <w:b/>
                <w:bCs/>
                <w:iCs/>
                <w:sz w:val="22"/>
                <w:szCs w:val="22"/>
              </w:rPr>
            </w:pPr>
            <w:r w:rsidRPr="009F723A">
              <w:rPr>
                <w:b/>
                <w:bCs/>
                <w:iCs/>
                <w:sz w:val="22"/>
                <w:szCs w:val="22"/>
              </w:rPr>
              <w:t>Value</w:t>
            </w:r>
          </w:p>
        </w:tc>
        <w:tc>
          <w:tcPr>
            <w:tcW w:w="1709" w:type="pct"/>
            <w:shd w:val="clear" w:color="auto" w:fill="auto"/>
            <w:vAlign w:val="center"/>
          </w:tcPr>
          <w:p w14:paraId="384C5B47" w14:textId="79B60150" w:rsidR="00EF7693" w:rsidRPr="009F723A" w:rsidRDefault="00EF7693" w:rsidP="00EF7693">
            <w:pPr>
              <w:rPr>
                <w:b/>
                <w:bCs/>
                <w:iCs/>
                <w:sz w:val="22"/>
                <w:szCs w:val="22"/>
              </w:rPr>
            </w:pPr>
            <w:r w:rsidRPr="009F723A">
              <w:rPr>
                <w:b/>
                <w:bCs/>
                <w:iCs/>
                <w:sz w:val="22"/>
                <w:szCs w:val="22"/>
              </w:rPr>
              <w:t>Notes/Interpretation</w:t>
            </w:r>
          </w:p>
        </w:tc>
      </w:tr>
      <w:tr w:rsidR="00EF7693" w:rsidRPr="00BA1BAF" w14:paraId="6CB5FC0F" w14:textId="77777777" w:rsidTr="007A6CEB">
        <w:trPr>
          <w:trHeight w:val="269"/>
        </w:trPr>
        <w:tc>
          <w:tcPr>
            <w:tcW w:w="2111" w:type="pct"/>
            <w:shd w:val="clear" w:color="auto" w:fill="auto"/>
            <w:noWrap/>
          </w:tcPr>
          <w:p w14:paraId="093D7064" w14:textId="77777777" w:rsidR="00EF7693" w:rsidRPr="00BA1BAF" w:rsidRDefault="00EF7693" w:rsidP="00EF7693">
            <w:pPr>
              <w:rPr>
                <w:sz w:val="18"/>
                <w:szCs w:val="18"/>
              </w:rPr>
            </w:pPr>
            <w:r w:rsidRPr="00BA1BAF">
              <w:rPr>
                <w:sz w:val="18"/>
                <w:szCs w:val="18"/>
              </w:rPr>
              <w:t>Chiller Plant Wire to Water Efficiency</w:t>
            </w:r>
          </w:p>
        </w:tc>
        <w:tc>
          <w:tcPr>
            <w:tcW w:w="637" w:type="pct"/>
            <w:shd w:val="clear" w:color="auto" w:fill="auto"/>
          </w:tcPr>
          <w:p w14:paraId="150D6640" w14:textId="77777777" w:rsidR="00EF7693" w:rsidRPr="00BA1BAF" w:rsidRDefault="00EF7693" w:rsidP="00EF7693">
            <w:pPr>
              <w:rPr>
                <w:sz w:val="18"/>
                <w:szCs w:val="18"/>
              </w:rPr>
            </w:pPr>
            <w:r w:rsidRPr="00BA1BAF">
              <w:rPr>
                <w:sz w:val="18"/>
                <w:szCs w:val="18"/>
              </w:rPr>
              <w:t>kW/ton</w:t>
            </w:r>
          </w:p>
        </w:tc>
        <w:tc>
          <w:tcPr>
            <w:tcW w:w="543" w:type="pct"/>
            <w:shd w:val="clear" w:color="auto" w:fill="auto"/>
          </w:tcPr>
          <w:p w14:paraId="3E186863" w14:textId="464E076C" w:rsidR="00EF7693" w:rsidRPr="00BA1BAF" w:rsidRDefault="004D551B" w:rsidP="002E4E0E">
            <w:pPr>
              <w:rPr>
                <w:sz w:val="18"/>
                <w:szCs w:val="18"/>
              </w:rPr>
            </w:pPr>
            <w:r>
              <w:rPr>
                <w:sz w:val="18"/>
                <w:szCs w:val="18"/>
                <w:highlight w:val="yellow"/>
              </w:rPr>
              <w:t>x</w:t>
            </w:r>
          </w:p>
        </w:tc>
        <w:tc>
          <w:tcPr>
            <w:tcW w:w="1709" w:type="pct"/>
            <w:shd w:val="clear" w:color="auto" w:fill="auto"/>
            <w:vAlign w:val="bottom"/>
          </w:tcPr>
          <w:p w14:paraId="49696E36" w14:textId="177477CB" w:rsidR="00EF7693" w:rsidRPr="00BA1BAF" w:rsidRDefault="00EF7693" w:rsidP="00EF7693">
            <w:pPr>
              <w:rPr>
                <w:sz w:val="18"/>
                <w:szCs w:val="18"/>
              </w:rPr>
            </w:pPr>
          </w:p>
        </w:tc>
      </w:tr>
      <w:tr w:rsidR="00EF7693" w:rsidRPr="00BA1BAF" w14:paraId="4F59F484" w14:textId="77777777" w:rsidTr="007A6CEB">
        <w:trPr>
          <w:trHeight w:val="89"/>
        </w:trPr>
        <w:tc>
          <w:tcPr>
            <w:tcW w:w="2111" w:type="pct"/>
            <w:shd w:val="clear" w:color="auto" w:fill="auto"/>
            <w:noWrap/>
          </w:tcPr>
          <w:p w14:paraId="6B7768BE" w14:textId="77777777" w:rsidR="00EF7693" w:rsidRPr="00BA1BAF" w:rsidRDefault="00EF7693" w:rsidP="00EF7693">
            <w:pPr>
              <w:rPr>
                <w:sz w:val="18"/>
                <w:szCs w:val="18"/>
              </w:rPr>
            </w:pPr>
            <w:r w:rsidRPr="00BA1BAF">
              <w:rPr>
                <w:sz w:val="18"/>
                <w:szCs w:val="18"/>
              </w:rPr>
              <w:t>Chiller Rated Efficiency at Design</w:t>
            </w:r>
          </w:p>
        </w:tc>
        <w:tc>
          <w:tcPr>
            <w:tcW w:w="637" w:type="pct"/>
            <w:shd w:val="clear" w:color="auto" w:fill="auto"/>
          </w:tcPr>
          <w:p w14:paraId="5EFA3084" w14:textId="77777777" w:rsidR="00EF7693" w:rsidRPr="00BA1BAF" w:rsidRDefault="00EF7693" w:rsidP="00EF7693">
            <w:pPr>
              <w:rPr>
                <w:sz w:val="18"/>
                <w:szCs w:val="18"/>
              </w:rPr>
            </w:pPr>
            <w:r w:rsidRPr="00BA1BAF">
              <w:rPr>
                <w:sz w:val="18"/>
                <w:szCs w:val="18"/>
              </w:rPr>
              <w:t>kW/ton</w:t>
            </w:r>
            <w:r>
              <w:rPr>
                <w:sz w:val="18"/>
                <w:szCs w:val="18"/>
              </w:rPr>
              <w:t xml:space="preserve"> </w:t>
            </w:r>
            <w:r w:rsidRPr="00BA1BAF">
              <w:rPr>
                <w:sz w:val="18"/>
                <w:szCs w:val="18"/>
              </w:rPr>
              <w:t xml:space="preserve"> NPLV</w:t>
            </w:r>
          </w:p>
        </w:tc>
        <w:tc>
          <w:tcPr>
            <w:tcW w:w="543" w:type="pct"/>
            <w:shd w:val="clear" w:color="auto" w:fill="auto"/>
          </w:tcPr>
          <w:p w14:paraId="3F241C95" w14:textId="4C016755"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676957CB" w14:textId="6A246383" w:rsidR="00EF7693" w:rsidRPr="00BA1BAF" w:rsidRDefault="00EF7693" w:rsidP="00EF7693">
            <w:pPr>
              <w:rPr>
                <w:sz w:val="18"/>
                <w:szCs w:val="18"/>
              </w:rPr>
            </w:pPr>
          </w:p>
        </w:tc>
      </w:tr>
      <w:tr w:rsidR="00EF7693" w:rsidRPr="00BA1BAF" w14:paraId="0B917FFC" w14:textId="77777777" w:rsidTr="007A6CEB">
        <w:trPr>
          <w:trHeight w:val="197"/>
        </w:trPr>
        <w:tc>
          <w:tcPr>
            <w:tcW w:w="2111" w:type="pct"/>
            <w:shd w:val="clear" w:color="auto" w:fill="auto"/>
            <w:noWrap/>
          </w:tcPr>
          <w:p w14:paraId="1148A791" w14:textId="77777777" w:rsidR="00EF7693" w:rsidRPr="00BA1BAF" w:rsidRDefault="00EF7693" w:rsidP="00EF7693">
            <w:pPr>
              <w:rPr>
                <w:sz w:val="18"/>
                <w:szCs w:val="18"/>
              </w:rPr>
            </w:pPr>
            <w:r w:rsidRPr="00BA1BAF">
              <w:rPr>
                <w:sz w:val="18"/>
                <w:szCs w:val="18"/>
              </w:rPr>
              <w:t>Cooling Tower Design Efficiency</w:t>
            </w:r>
          </w:p>
        </w:tc>
        <w:tc>
          <w:tcPr>
            <w:tcW w:w="637" w:type="pct"/>
            <w:shd w:val="clear" w:color="auto" w:fill="auto"/>
          </w:tcPr>
          <w:p w14:paraId="2B512478" w14:textId="77777777" w:rsidR="00EF7693" w:rsidRPr="00BA1BAF" w:rsidRDefault="00EF7693" w:rsidP="00EF7693">
            <w:pPr>
              <w:rPr>
                <w:sz w:val="18"/>
                <w:szCs w:val="18"/>
              </w:rPr>
            </w:pPr>
            <w:r w:rsidRPr="00BA1BAF">
              <w:rPr>
                <w:sz w:val="18"/>
                <w:szCs w:val="18"/>
              </w:rPr>
              <w:t>gpm/HP</w:t>
            </w:r>
          </w:p>
        </w:tc>
        <w:tc>
          <w:tcPr>
            <w:tcW w:w="543" w:type="pct"/>
            <w:shd w:val="clear" w:color="auto" w:fill="auto"/>
          </w:tcPr>
          <w:p w14:paraId="62F0CB4F" w14:textId="4EB48353"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4AB48CFC" w14:textId="110A7E58" w:rsidR="00EF7693" w:rsidRPr="00BA1BAF" w:rsidRDefault="00EF7693" w:rsidP="00EF7693">
            <w:pPr>
              <w:rPr>
                <w:sz w:val="18"/>
                <w:szCs w:val="18"/>
              </w:rPr>
            </w:pPr>
          </w:p>
        </w:tc>
      </w:tr>
      <w:tr w:rsidR="00EF7693" w:rsidRPr="00BA1BAF" w14:paraId="43396082" w14:textId="77777777" w:rsidTr="007A6CEB">
        <w:trPr>
          <w:trHeight w:val="161"/>
        </w:trPr>
        <w:tc>
          <w:tcPr>
            <w:tcW w:w="2111" w:type="pct"/>
            <w:shd w:val="clear" w:color="auto" w:fill="auto"/>
            <w:noWrap/>
          </w:tcPr>
          <w:p w14:paraId="39BC58FC" w14:textId="77777777" w:rsidR="00EF7693" w:rsidRPr="00BA1BAF" w:rsidRDefault="00EF7693" w:rsidP="00EF7693">
            <w:pPr>
              <w:rPr>
                <w:sz w:val="18"/>
                <w:szCs w:val="18"/>
              </w:rPr>
            </w:pPr>
            <w:r w:rsidRPr="00BA1BAF">
              <w:rPr>
                <w:sz w:val="18"/>
                <w:szCs w:val="18"/>
              </w:rPr>
              <w:t>Cooling Tower Design Approach</w:t>
            </w:r>
          </w:p>
        </w:tc>
        <w:tc>
          <w:tcPr>
            <w:tcW w:w="637" w:type="pct"/>
            <w:shd w:val="clear" w:color="auto" w:fill="auto"/>
          </w:tcPr>
          <w:p w14:paraId="09AE8461" w14:textId="77777777" w:rsidR="00EF7693" w:rsidRPr="00BA1BAF" w:rsidRDefault="00EF7693" w:rsidP="00EF7693">
            <w:pPr>
              <w:rPr>
                <w:sz w:val="18"/>
                <w:szCs w:val="18"/>
              </w:rPr>
            </w:pPr>
            <w:r w:rsidRPr="00BA1BAF">
              <w:rPr>
                <w:sz w:val="18"/>
                <w:szCs w:val="18"/>
              </w:rPr>
              <w:t>F</w:t>
            </w:r>
          </w:p>
        </w:tc>
        <w:tc>
          <w:tcPr>
            <w:tcW w:w="543" w:type="pct"/>
            <w:shd w:val="clear" w:color="auto" w:fill="auto"/>
          </w:tcPr>
          <w:p w14:paraId="071945FF" w14:textId="047EA15C"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6F9F096C" w14:textId="5A9DC312" w:rsidR="00EF7693" w:rsidRPr="00BA1BAF" w:rsidRDefault="00EF7693" w:rsidP="00EF7693">
            <w:pPr>
              <w:rPr>
                <w:sz w:val="18"/>
                <w:szCs w:val="18"/>
              </w:rPr>
            </w:pPr>
          </w:p>
        </w:tc>
      </w:tr>
      <w:tr w:rsidR="00EF7693" w:rsidRPr="00BA1BAF" w14:paraId="1183794E" w14:textId="77777777" w:rsidTr="007A6CEB">
        <w:trPr>
          <w:trHeight w:val="215"/>
        </w:trPr>
        <w:tc>
          <w:tcPr>
            <w:tcW w:w="2111" w:type="pct"/>
            <w:shd w:val="clear" w:color="auto" w:fill="auto"/>
            <w:noWrap/>
          </w:tcPr>
          <w:p w14:paraId="035081C5" w14:textId="77777777" w:rsidR="00EF7693" w:rsidRPr="00BA1BAF" w:rsidRDefault="00EF7693" w:rsidP="00EF7693">
            <w:pPr>
              <w:rPr>
                <w:sz w:val="18"/>
                <w:szCs w:val="18"/>
              </w:rPr>
            </w:pPr>
            <w:r w:rsidRPr="00BA1BAF">
              <w:rPr>
                <w:sz w:val="18"/>
                <w:szCs w:val="18"/>
              </w:rPr>
              <w:t>Condenser Approach Temperature</w:t>
            </w:r>
          </w:p>
        </w:tc>
        <w:tc>
          <w:tcPr>
            <w:tcW w:w="637" w:type="pct"/>
            <w:shd w:val="clear" w:color="auto" w:fill="auto"/>
          </w:tcPr>
          <w:p w14:paraId="428F15BE" w14:textId="77777777" w:rsidR="00EF7693" w:rsidRPr="00BA1BAF" w:rsidRDefault="00EF7693" w:rsidP="00EF7693">
            <w:pPr>
              <w:rPr>
                <w:sz w:val="18"/>
                <w:szCs w:val="18"/>
              </w:rPr>
            </w:pPr>
            <w:r w:rsidRPr="00BA1BAF">
              <w:rPr>
                <w:sz w:val="18"/>
                <w:szCs w:val="18"/>
              </w:rPr>
              <w:t>F</w:t>
            </w:r>
          </w:p>
        </w:tc>
        <w:tc>
          <w:tcPr>
            <w:tcW w:w="543" w:type="pct"/>
            <w:shd w:val="clear" w:color="auto" w:fill="auto"/>
          </w:tcPr>
          <w:p w14:paraId="0641F631" w14:textId="050CC367"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2B8E69F4" w14:textId="71515FDB" w:rsidR="00EF7693" w:rsidRPr="00BA1BAF" w:rsidRDefault="00EF7693" w:rsidP="00EF7693">
            <w:pPr>
              <w:rPr>
                <w:sz w:val="18"/>
                <w:szCs w:val="18"/>
              </w:rPr>
            </w:pPr>
          </w:p>
        </w:tc>
      </w:tr>
      <w:tr w:rsidR="00EF7693" w:rsidRPr="00BA1BAF" w14:paraId="08751DBF" w14:textId="77777777" w:rsidTr="007A6CEB">
        <w:trPr>
          <w:trHeight w:val="170"/>
        </w:trPr>
        <w:tc>
          <w:tcPr>
            <w:tcW w:w="2111" w:type="pct"/>
            <w:shd w:val="clear" w:color="auto" w:fill="auto"/>
            <w:noWrap/>
          </w:tcPr>
          <w:p w14:paraId="296893D0" w14:textId="77777777" w:rsidR="00EF7693" w:rsidRPr="00BA1BAF" w:rsidRDefault="00EF7693" w:rsidP="00EF7693">
            <w:pPr>
              <w:rPr>
                <w:sz w:val="18"/>
                <w:szCs w:val="18"/>
              </w:rPr>
            </w:pPr>
            <w:r w:rsidRPr="00BA1BAF">
              <w:rPr>
                <w:sz w:val="18"/>
                <w:szCs w:val="18"/>
              </w:rPr>
              <w:t>Chilled Water Pumping Efficiency</w:t>
            </w:r>
          </w:p>
        </w:tc>
        <w:tc>
          <w:tcPr>
            <w:tcW w:w="637" w:type="pct"/>
            <w:shd w:val="clear" w:color="auto" w:fill="auto"/>
          </w:tcPr>
          <w:p w14:paraId="2BFB650F" w14:textId="77777777" w:rsidR="00EF7693" w:rsidRPr="00BA1BAF" w:rsidRDefault="00EF7693" w:rsidP="00EF7693">
            <w:pPr>
              <w:rPr>
                <w:sz w:val="18"/>
                <w:szCs w:val="18"/>
              </w:rPr>
            </w:pPr>
            <w:r w:rsidRPr="00BA1BAF">
              <w:rPr>
                <w:sz w:val="18"/>
                <w:szCs w:val="18"/>
              </w:rPr>
              <w:t>W/gpm</w:t>
            </w:r>
          </w:p>
        </w:tc>
        <w:tc>
          <w:tcPr>
            <w:tcW w:w="543" w:type="pct"/>
            <w:shd w:val="clear" w:color="auto" w:fill="auto"/>
          </w:tcPr>
          <w:p w14:paraId="6660C9C3" w14:textId="031344FC"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2A292B76" w14:textId="59D737FD" w:rsidR="00EF7693" w:rsidRPr="00BA1BAF" w:rsidRDefault="00EF7693" w:rsidP="00EF7693">
            <w:pPr>
              <w:rPr>
                <w:sz w:val="18"/>
                <w:szCs w:val="18"/>
              </w:rPr>
            </w:pPr>
          </w:p>
        </w:tc>
      </w:tr>
      <w:tr w:rsidR="00EF7693" w:rsidRPr="00BA1BAF" w14:paraId="1AC82462" w14:textId="77777777" w:rsidTr="007A6CEB">
        <w:trPr>
          <w:trHeight w:val="44"/>
        </w:trPr>
        <w:tc>
          <w:tcPr>
            <w:tcW w:w="2111" w:type="pct"/>
            <w:shd w:val="clear" w:color="auto" w:fill="auto"/>
            <w:noWrap/>
          </w:tcPr>
          <w:p w14:paraId="56975787" w14:textId="77777777" w:rsidR="00EF7693" w:rsidRPr="00BA1BAF" w:rsidRDefault="00EF7693" w:rsidP="00EF7693">
            <w:pPr>
              <w:rPr>
                <w:sz w:val="18"/>
                <w:szCs w:val="18"/>
              </w:rPr>
            </w:pPr>
            <w:r w:rsidRPr="00BA1BAF">
              <w:rPr>
                <w:sz w:val="18"/>
                <w:szCs w:val="18"/>
              </w:rPr>
              <w:t>Condenser Water Pumping Efficiency</w:t>
            </w:r>
          </w:p>
        </w:tc>
        <w:tc>
          <w:tcPr>
            <w:tcW w:w="637" w:type="pct"/>
            <w:shd w:val="clear" w:color="auto" w:fill="auto"/>
          </w:tcPr>
          <w:p w14:paraId="0705BF2C" w14:textId="77777777" w:rsidR="00EF7693" w:rsidRPr="00BA1BAF" w:rsidRDefault="00EF7693" w:rsidP="00EF7693">
            <w:pPr>
              <w:rPr>
                <w:sz w:val="18"/>
                <w:szCs w:val="18"/>
              </w:rPr>
            </w:pPr>
            <w:r w:rsidRPr="00BA1BAF">
              <w:rPr>
                <w:sz w:val="18"/>
                <w:szCs w:val="18"/>
              </w:rPr>
              <w:t>W/gpm</w:t>
            </w:r>
          </w:p>
        </w:tc>
        <w:tc>
          <w:tcPr>
            <w:tcW w:w="543" w:type="pct"/>
            <w:shd w:val="clear" w:color="auto" w:fill="auto"/>
          </w:tcPr>
          <w:p w14:paraId="0283A865" w14:textId="5B21C2AD"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0FDFE105" w14:textId="308BC040" w:rsidR="00EF7693" w:rsidRPr="00BA1BAF" w:rsidRDefault="00EF7693" w:rsidP="00EF7693">
            <w:pPr>
              <w:rPr>
                <w:sz w:val="18"/>
                <w:szCs w:val="18"/>
              </w:rPr>
            </w:pPr>
          </w:p>
        </w:tc>
      </w:tr>
      <w:tr w:rsidR="00EF7693" w:rsidRPr="00BA1BAF" w14:paraId="2C52934A" w14:textId="77777777" w:rsidTr="007A6CEB">
        <w:trPr>
          <w:trHeight w:val="40"/>
        </w:trPr>
        <w:tc>
          <w:tcPr>
            <w:tcW w:w="2111" w:type="pct"/>
            <w:shd w:val="clear" w:color="auto" w:fill="auto"/>
            <w:noWrap/>
          </w:tcPr>
          <w:p w14:paraId="2D558A72" w14:textId="77777777" w:rsidR="00EF7693" w:rsidRPr="00BA1BAF" w:rsidRDefault="00EF7693" w:rsidP="00EF7693">
            <w:pPr>
              <w:rPr>
                <w:sz w:val="18"/>
                <w:szCs w:val="18"/>
              </w:rPr>
            </w:pPr>
            <w:r w:rsidRPr="00BA1BAF">
              <w:rPr>
                <w:sz w:val="18"/>
                <w:szCs w:val="18"/>
              </w:rPr>
              <w:t>Pump and fan motor efficiency</w:t>
            </w:r>
          </w:p>
        </w:tc>
        <w:tc>
          <w:tcPr>
            <w:tcW w:w="637" w:type="pct"/>
            <w:shd w:val="clear" w:color="auto" w:fill="auto"/>
          </w:tcPr>
          <w:p w14:paraId="45ACF142" w14:textId="77777777" w:rsidR="00EF7693" w:rsidRPr="00BA1BAF" w:rsidRDefault="00EF7693" w:rsidP="00EF7693">
            <w:pPr>
              <w:rPr>
                <w:sz w:val="18"/>
                <w:szCs w:val="18"/>
              </w:rPr>
            </w:pPr>
            <w:r w:rsidRPr="00BA1BAF">
              <w:rPr>
                <w:sz w:val="18"/>
                <w:szCs w:val="18"/>
              </w:rPr>
              <w:t>%</w:t>
            </w:r>
          </w:p>
        </w:tc>
        <w:tc>
          <w:tcPr>
            <w:tcW w:w="543" w:type="pct"/>
            <w:shd w:val="clear" w:color="auto" w:fill="auto"/>
          </w:tcPr>
          <w:p w14:paraId="16B05383" w14:textId="76221AA5"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0580769A" w14:textId="7C5B1AD5" w:rsidR="00EF7693" w:rsidRPr="00BA1BAF" w:rsidRDefault="00EF7693" w:rsidP="00EF7693">
            <w:pPr>
              <w:rPr>
                <w:sz w:val="18"/>
                <w:szCs w:val="18"/>
              </w:rPr>
            </w:pPr>
          </w:p>
        </w:tc>
      </w:tr>
      <w:tr w:rsidR="00EF7693" w:rsidRPr="00BA1BAF" w14:paraId="3F5E0482" w14:textId="77777777" w:rsidTr="007A6CEB">
        <w:trPr>
          <w:trHeight w:val="40"/>
        </w:trPr>
        <w:tc>
          <w:tcPr>
            <w:tcW w:w="2111" w:type="pct"/>
            <w:shd w:val="clear" w:color="auto" w:fill="auto"/>
            <w:noWrap/>
          </w:tcPr>
          <w:p w14:paraId="6FDD1121" w14:textId="77777777" w:rsidR="00EF7693" w:rsidRPr="00BA1BAF" w:rsidRDefault="00EF7693" w:rsidP="00EF7693">
            <w:pPr>
              <w:rPr>
                <w:sz w:val="18"/>
                <w:szCs w:val="18"/>
              </w:rPr>
            </w:pPr>
            <w:r w:rsidRPr="00BA1BAF">
              <w:rPr>
                <w:sz w:val="18"/>
                <w:szCs w:val="18"/>
              </w:rPr>
              <w:t>Chiller Water-Side Econ Utilization Factor</w:t>
            </w:r>
          </w:p>
        </w:tc>
        <w:tc>
          <w:tcPr>
            <w:tcW w:w="637" w:type="pct"/>
            <w:shd w:val="clear" w:color="auto" w:fill="auto"/>
          </w:tcPr>
          <w:p w14:paraId="0EE705B8" w14:textId="77777777" w:rsidR="00EF7693" w:rsidRPr="00BA1BAF" w:rsidRDefault="00EF7693" w:rsidP="00EF7693">
            <w:pPr>
              <w:rPr>
                <w:sz w:val="18"/>
                <w:szCs w:val="18"/>
              </w:rPr>
            </w:pPr>
            <w:r w:rsidRPr="00BA1BAF">
              <w:rPr>
                <w:sz w:val="18"/>
                <w:szCs w:val="18"/>
              </w:rPr>
              <w:t>%</w:t>
            </w:r>
          </w:p>
        </w:tc>
        <w:tc>
          <w:tcPr>
            <w:tcW w:w="543" w:type="pct"/>
            <w:shd w:val="clear" w:color="auto" w:fill="auto"/>
          </w:tcPr>
          <w:p w14:paraId="4FD31885" w14:textId="6187255D" w:rsidR="00EF7693" w:rsidRPr="00BA1BAF" w:rsidRDefault="004D551B" w:rsidP="00EF7693">
            <w:pPr>
              <w:rPr>
                <w:sz w:val="18"/>
                <w:szCs w:val="18"/>
              </w:rPr>
            </w:pPr>
            <w:r>
              <w:rPr>
                <w:sz w:val="18"/>
                <w:szCs w:val="18"/>
                <w:highlight w:val="yellow"/>
              </w:rPr>
              <w:t>x</w:t>
            </w:r>
          </w:p>
        </w:tc>
        <w:tc>
          <w:tcPr>
            <w:tcW w:w="1709" w:type="pct"/>
            <w:shd w:val="clear" w:color="auto" w:fill="auto"/>
            <w:vAlign w:val="bottom"/>
          </w:tcPr>
          <w:p w14:paraId="70607464" w14:textId="4E215770" w:rsidR="00EF7693" w:rsidRPr="00BA1BAF" w:rsidRDefault="00EF7693" w:rsidP="00EF7693">
            <w:pPr>
              <w:rPr>
                <w:sz w:val="18"/>
                <w:szCs w:val="18"/>
              </w:rPr>
            </w:pPr>
          </w:p>
        </w:tc>
      </w:tr>
    </w:tbl>
    <w:p w14:paraId="05563EF6" w14:textId="4DC5B07F" w:rsidR="00EF7693" w:rsidRDefault="00EF7693" w:rsidP="00EF7693">
      <w:pPr>
        <w:jc w:val="center"/>
        <w:rPr>
          <w:b/>
          <w:sz w:val="22"/>
          <w:szCs w:val="22"/>
        </w:rPr>
      </w:pPr>
      <w:r>
        <w:rPr>
          <w:b/>
          <w:sz w:val="22"/>
          <w:szCs w:val="22"/>
        </w:rPr>
        <w:t xml:space="preserve">Table </w:t>
      </w:r>
      <w:r w:rsidRPr="00860CFF">
        <w:rPr>
          <w:b/>
          <w:sz w:val="22"/>
          <w:szCs w:val="22"/>
          <w:highlight w:val="yellow"/>
        </w:rPr>
        <w:t>7</w:t>
      </w:r>
      <w:r>
        <w:rPr>
          <w:b/>
          <w:sz w:val="22"/>
          <w:szCs w:val="22"/>
        </w:rPr>
        <w:t xml:space="preserve"> – Cooling Plant Metrics</w:t>
      </w:r>
    </w:p>
    <w:p w14:paraId="179447D4" w14:textId="1BBDC9ED" w:rsidR="00DE6A0D" w:rsidRDefault="00DE6A0D" w:rsidP="00D71008">
      <w:pPr>
        <w:pStyle w:val="Heading3"/>
      </w:pPr>
      <w:r>
        <w:rPr>
          <w:noProof/>
        </w:rPr>
        <w:drawing>
          <wp:inline distT="0" distB="0" distL="0" distR="0" wp14:anchorId="24A89240" wp14:editId="197864D9">
            <wp:extent cx="5463738" cy="3713318"/>
            <wp:effectExtent l="0" t="0" r="22860" b="209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E4E0E" w:rsidRPr="001E7DCF">
        <w:t xml:space="preserve"> </w:t>
      </w:r>
    </w:p>
    <w:p w14:paraId="5AF840C5" w14:textId="00D99DD6" w:rsidR="001E7DCF" w:rsidRPr="001E7DCF" w:rsidRDefault="001E7DCF" w:rsidP="001E7DCF">
      <w:pPr>
        <w:jc w:val="center"/>
        <w:rPr>
          <w:sz w:val="22"/>
          <w:szCs w:val="22"/>
        </w:rPr>
      </w:pPr>
      <w:r w:rsidRPr="001E7DCF">
        <w:rPr>
          <w:b/>
          <w:sz w:val="22"/>
          <w:szCs w:val="22"/>
        </w:rPr>
        <w:t xml:space="preserve">Figure </w:t>
      </w:r>
      <w:r w:rsidRPr="001E7DCF">
        <w:rPr>
          <w:b/>
          <w:sz w:val="22"/>
          <w:szCs w:val="22"/>
          <w:highlight w:val="yellow"/>
        </w:rPr>
        <w:t>4</w:t>
      </w:r>
      <w:r w:rsidRPr="001E7DCF">
        <w:rPr>
          <w:b/>
          <w:sz w:val="22"/>
          <w:szCs w:val="22"/>
        </w:rPr>
        <w:t xml:space="preserve"> – Chilled water plant and chiller rated efficiency</w:t>
      </w:r>
      <w:r w:rsidRPr="001E7DCF">
        <w:rPr>
          <w:sz w:val="22"/>
          <w:szCs w:val="22"/>
        </w:rPr>
        <w:t xml:space="preserve"> </w:t>
      </w:r>
      <w:r w:rsidRPr="001E7DCF">
        <w:rPr>
          <w:sz w:val="22"/>
          <w:szCs w:val="22"/>
          <w:highlight w:val="yellow"/>
        </w:rPr>
        <w:t>Add line and text box to show your data center’s</w:t>
      </w:r>
      <w:r w:rsidRPr="001E7DCF">
        <w:rPr>
          <w:sz w:val="22"/>
          <w:szCs w:val="22"/>
        </w:rPr>
        <w:t xml:space="preserve"> </w:t>
      </w:r>
      <w:r w:rsidRPr="001E7DCF">
        <w:rPr>
          <w:sz w:val="22"/>
          <w:szCs w:val="22"/>
          <w:highlight w:val="yellow"/>
        </w:rPr>
        <w:t>chiller plant efficiency and chiller rated efficiency</w:t>
      </w:r>
    </w:p>
    <w:p w14:paraId="74256277" w14:textId="593F61F2" w:rsidR="00EF7693" w:rsidRDefault="00EF7693" w:rsidP="00EF7693">
      <w:pPr>
        <w:pStyle w:val="Heading3"/>
      </w:pPr>
      <w:r>
        <w:t>Electrical Power Chain Metrics</w:t>
      </w:r>
    </w:p>
    <w:p w14:paraId="6A8E92D8" w14:textId="055BEA91" w:rsidR="00EF7693" w:rsidRPr="00EF7693" w:rsidRDefault="00EF7693" w:rsidP="00EF7693">
      <w:pPr>
        <w:rPr>
          <w:sz w:val="22"/>
          <w:szCs w:val="22"/>
        </w:rPr>
      </w:pPr>
      <w:r w:rsidRPr="00EF7693">
        <w:rPr>
          <w:sz w:val="22"/>
          <w:szCs w:val="22"/>
        </w:rPr>
        <w:t>The UPS system typically represents an efficiency opportuni</w:t>
      </w:r>
      <w:r w:rsidR="002E3A93">
        <w:rPr>
          <w:sz w:val="22"/>
          <w:szCs w:val="22"/>
        </w:rPr>
        <w:t xml:space="preserve">ty in most data centers. </w:t>
      </w:r>
      <w:r w:rsidRPr="00EF7693">
        <w:rPr>
          <w:sz w:val="22"/>
          <w:szCs w:val="22"/>
        </w:rPr>
        <w:t xml:space="preserve">In this data center, the UPS was on an average loaded to approximately </w:t>
      </w:r>
      <w:r w:rsidR="002E3A93">
        <w:rPr>
          <w:sz w:val="22"/>
          <w:szCs w:val="22"/>
          <w:highlight w:val="yellow"/>
        </w:rPr>
        <w:t>xx</w:t>
      </w:r>
      <w:r w:rsidR="002E3A93">
        <w:rPr>
          <w:sz w:val="22"/>
          <w:szCs w:val="22"/>
        </w:rPr>
        <w:t xml:space="preserve">% of its rated capacity. </w:t>
      </w:r>
      <w:r w:rsidRPr="00EF7693">
        <w:rPr>
          <w:sz w:val="22"/>
          <w:szCs w:val="22"/>
        </w:rPr>
        <w:t>Since UPS efficiency is higher at higher load factors, loading to 50% total for 2N system or 40% for each module is good fro</w:t>
      </w:r>
      <w:r>
        <w:rPr>
          <w:sz w:val="22"/>
          <w:szCs w:val="22"/>
        </w:rPr>
        <w:t xml:space="preserve">m an efficiency point of view. </w:t>
      </w:r>
      <w:r w:rsidRPr="00EF7693">
        <w:rPr>
          <w:sz w:val="22"/>
          <w:szCs w:val="22"/>
        </w:rPr>
        <w:t>The efficiency at</w:t>
      </w:r>
      <w:r>
        <w:rPr>
          <w:sz w:val="22"/>
          <w:szCs w:val="22"/>
        </w:rPr>
        <w:t xml:space="preserve"> the units at</w:t>
      </w:r>
      <w:r w:rsidRPr="00EF7693">
        <w:rPr>
          <w:sz w:val="22"/>
          <w:szCs w:val="22"/>
        </w:rPr>
        <w:t xml:space="preserve"> </w:t>
      </w:r>
      <w:r w:rsidR="002E3A93">
        <w:rPr>
          <w:sz w:val="22"/>
          <w:szCs w:val="22"/>
          <w:highlight w:val="yellow"/>
        </w:rPr>
        <w:t>xx</w:t>
      </w:r>
      <w:r w:rsidRPr="00EF7693">
        <w:rPr>
          <w:sz w:val="22"/>
          <w:szCs w:val="22"/>
        </w:rPr>
        <w:t xml:space="preserve">% load factor </w:t>
      </w:r>
      <w:r>
        <w:rPr>
          <w:sz w:val="22"/>
          <w:szCs w:val="22"/>
        </w:rPr>
        <w:t xml:space="preserve">is approximately </w:t>
      </w:r>
      <w:r w:rsidR="002E3A93">
        <w:rPr>
          <w:sz w:val="22"/>
          <w:szCs w:val="22"/>
          <w:highlight w:val="yellow"/>
        </w:rPr>
        <w:t>xx</w:t>
      </w:r>
      <w:r>
        <w:rPr>
          <w:sz w:val="22"/>
          <w:szCs w:val="22"/>
        </w:rPr>
        <w:t>% according to the manufacturer</w:t>
      </w:r>
      <w:r w:rsidR="006956FE">
        <w:rPr>
          <w:sz w:val="22"/>
          <w:szCs w:val="22"/>
        </w:rPr>
        <w:t xml:space="preserve">. </w:t>
      </w:r>
      <w:r w:rsidRPr="00EF7693">
        <w:rPr>
          <w:sz w:val="22"/>
          <w:szCs w:val="22"/>
        </w:rPr>
        <w:t xml:space="preserve">This means that the UPS efficiency is </w:t>
      </w:r>
      <w:r w:rsidR="006956FE" w:rsidRPr="005E08E9">
        <w:rPr>
          <w:sz w:val="22"/>
          <w:szCs w:val="22"/>
          <w:highlight w:val="yellow"/>
        </w:rPr>
        <w:t>better</w:t>
      </w:r>
      <w:r w:rsidR="006956FE">
        <w:rPr>
          <w:sz w:val="22"/>
          <w:szCs w:val="22"/>
        </w:rPr>
        <w:t xml:space="preserve"> than </w:t>
      </w:r>
      <w:r w:rsidRPr="00EF7693">
        <w:rPr>
          <w:sz w:val="22"/>
          <w:szCs w:val="22"/>
        </w:rPr>
        <w:t xml:space="preserve">average for all systems benchmarked at this load factor. </w:t>
      </w:r>
    </w:p>
    <w:p w14:paraId="6F9D5E59" w14:textId="77777777" w:rsidR="00EF7693" w:rsidRDefault="00EF7693" w:rsidP="00EF7693"/>
    <w:p w14:paraId="4FD6D448" w14:textId="4253BDF7" w:rsidR="007063C2" w:rsidRDefault="005E08E9" w:rsidP="00EF7693">
      <w:pPr>
        <w:rPr>
          <w:sz w:val="22"/>
          <w:szCs w:val="22"/>
        </w:rPr>
      </w:pPr>
      <w:r w:rsidRPr="00D9651A">
        <w:rPr>
          <w:sz w:val="22"/>
          <w:szCs w:val="22"/>
        </w:rPr>
        <w:t xml:space="preserve">Table </w:t>
      </w:r>
      <w:r w:rsidRPr="006B3956">
        <w:rPr>
          <w:sz w:val="22"/>
          <w:szCs w:val="22"/>
          <w:highlight w:val="yellow"/>
        </w:rPr>
        <w:t>8</w:t>
      </w:r>
      <w:r w:rsidRPr="00D9651A">
        <w:rPr>
          <w:sz w:val="22"/>
          <w:szCs w:val="22"/>
        </w:rPr>
        <w:t xml:space="preserve"> summarizes the metri</w:t>
      </w:r>
      <w:r w:rsidR="002E4E0E">
        <w:rPr>
          <w:sz w:val="22"/>
          <w:szCs w:val="22"/>
        </w:rPr>
        <w:t xml:space="preserve">cs that were collected. Figure </w:t>
      </w:r>
      <w:r w:rsidR="002E4E0E" w:rsidRPr="006B3956">
        <w:rPr>
          <w:sz w:val="22"/>
          <w:szCs w:val="22"/>
          <w:highlight w:val="yellow"/>
        </w:rPr>
        <w:t>5</w:t>
      </w:r>
      <w:r w:rsidRPr="00D9651A">
        <w:rPr>
          <w:sz w:val="22"/>
          <w:szCs w:val="22"/>
        </w:rPr>
        <w:t xml:space="preserve"> plots observed UPS efficiency. Figure </w:t>
      </w:r>
      <w:r w:rsidRPr="009F723A">
        <w:rPr>
          <w:sz w:val="22"/>
          <w:szCs w:val="22"/>
          <w:highlight w:val="yellow"/>
        </w:rPr>
        <w:t>6</w:t>
      </w:r>
      <w:r w:rsidRPr="00D9651A">
        <w:rPr>
          <w:sz w:val="22"/>
          <w:szCs w:val="22"/>
        </w:rPr>
        <w:t xml:space="preserve"> compares observed load fac</w:t>
      </w:r>
      <w:r w:rsidR="006B3956">
        <w:rPr>
          <w:sz w:val="22"/>
          <w:szCs w:val="22"/>
        </w:rPr>
        <w:t>tor to other data centers, and f</w:t>
      </w:r>
      <w:r w:rsidRPr="00D9651A">
        <w:rPr>
          <w:sz w:val="22"/>
          <w:szCs w:val="22"/>
        </w:rPr>
        <w:t xml:space="preserve">igure </w:t>
      </w:r>
      <w:r w:rsidRPr="006B3956">
        <w:rPr>
          <w:sz w:val="22"/>
          <w:szCs w:val="22"/>
          <w:highlight w:val="yellow"/>
        </w:rPr>
        <w:t>7</w:t>
      </w:r>
      <w:r w:rsidRPr="00D9651A">
        <w:rPr>
          <w:sz w:val="22"/>
          <w:szCs w:val="22"/>
        </w:rPr>
        <w:t xml:space="preserve"> shoed measures IT load density.  </w:t>
      </w:r>
    </w:p>
    <w:p w14:paraId="21AB72F1" w14:textId="77777777" w:rsidR="001825D6" w:rsidRDefault="001825D6" w:rsidP="00EF7693">
      <w:pPr>
        <w:rPr>
          <w:sz w:val="22"/>
          <w:szCs w:val="22"/>
        </w:rPr>
      </w:pPr>
    </w:p>
    <w:p w14:paraId="7F9AAB37" w14:textId="730588EC" w:rsidR="007063C2" w:rsidRDefault="007063C2" w:rsidP="00EF7693">
      <w:pPr>
        <w:rPr>
          <w:sz w:val="22"/>
          <w:szCs w:val="22"/>
        </w:rPr>
      </w:pPr>
      <w:r>
        <w:rPr>
          <w:noProof/>
        </w:rPr>
        <w:drawing>
          <wp:inline distT="0" distB="0" distL="0" distR="0" wp14:anchorId="6ED15A44" wp14:editId="60FC33E8">
            <wp:extent cx="4457700" cy="3064214"/>
            <wp:effectExtent l="0" t="0" r="12700" b="349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843980" w14:textId="1FC3B7C4" w:rsidR="008B66A8" w:rsidRDefault="006B3956" w:rsidP="006B3956">
      <w:pPr>
        <w:jc w:val="center"/>
        <w:rPr>
          <w:b/>
          <w:sz w:val="22"/>
          <w:szCs w:val="22"/>
        </w:rPr>
      </w:pPr>
      <w:r w:rsidRPr="006B3956">
        <w:rPr>
          <w:b/>
          <w:sz w:val="22"/>
          <w:szCs w:val="22"/>
        </w:rPr>
        <w:t>Figure 5 – UPS Load Factor</w:t>
      </w:r>
      <w:r>
        <w:rPr>
          <w:b/>
          <w:sz w:val="22"/>
          <w:szCs w:val="22"/>
        </w:rPr>
        <w:t xml:space="preserve"> </w:t>
      </w:r>
      <w:r w:rsidRPr="00FE4D00">
        <w:rPr>
          <w:b/>
          <w:sz w:val="22"/>
          <w:szCs w:val="22"/>
          <w:highlight w:val="yellow"/>
        </w:rPr>
        <w:t>Add line and text b</w:t>
      </w:r>
      <w:r w:rsidRPr="006B3956">
        <w:rPr>
          <w:b/>
          <w:sz w:val="22"/>
          <w:szCs w:val="22"/>
          <w:highlight w:val="yellow"/>
        </w:rPr>
        <w:t>ox to show your data center’s UPS Load Factor</w:t>
      </w:r>
    </w:p>
    <w:p w14:paraId="5DBB3D4C" w14:textId="3662C197" w:rsidR="006B3956" w:rsidRPr="006B3956" w:rsidRDefault="00753524" w:rsidP="006B3956">
      <w:pPr>
        <w:jc w:val="center"/>
        <w:rPr>
          <w:b/>
          <w:sz w:val="22"/>
          <w:szCs w:val="22"/>
        </w:rPr>
      </w:pPr>
      <w:r>
        <w:rPr>
          <w:noProof/>
        </w:rPr>
        <w:drawing>
          <wp:anchor distT="0" distB="0" distL="114300" distR="114300" simplePos="0" relativeHeight="251663360" behindDoc="0" locked="0" layoutInCell="1" allowOverlap="1" wp14:anchorId="54498CC8" wp14:editId="4E551FC9">
            <wp:simplePos x="0" y="0"/>
            <wp:positionH relativeFrom="column">
              <wp:posOffset>0</wp:posOffset>
            </wp:positionH>
            <wp:positionV relativeFrom="paragraph">
              <wp:posOffset>361315</wp:posOffset>
            </wp:positionV>
            <wp:extent cx="4457700" cy="3286760"/>
            <wp:effectExtent l="0" t="0" r="12700" b="1524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B3956" w:rsidRPr="0075375C">
        <w:rPr>
          <w:b/>
          <w:sz w:val="22"/>
          <w:szCs w:val="22"/>
          <w:highlight w:val="yellow"/>
        </w:rPr>
        <w:t>Figure 6</w:t>
      </w:r>
      <w:r w:rsidR="006B3956" w:rsidRPr="006B3956">
        <w:rPr>
          <w:b/>
          <w:sz w:val="22"/>
          <w:szCs w:val="22"/>
        </w:rPr>
        <w:t xml:space="preserve"> – </w:t>
      </w:r>
      <w:r w:rsidR="0075375C">
        <w:rPr>
          <w:b/>
          <w:sz w:val="22"/>
          <w:szCs w:val="22"/>
        </w:rPr>
        <w:t xml:space="preserve">Measured </w:t>
      </w:r>
      <w:r w:rsidR="006B3956">
        <w:rPr>
          <w:b/>
          <w:sz w:val="22"/>
          <w:szCs w:val="22"/>
        </w:rPr>
        <w:t xml:space="preserve">IT Load Density </w:t>
      </w:r>
      <w:r w:rsidR="006B3956" w:rsidRPr="0075375C">
        <w:rPr>
          <w:b/>
          <w:sz w:val="22"/>
          <w:szCs w:val="22"/>
          <w:highlight w:val="yellow"/>
        </w:rPr>
        <w:t xml:space="preserve">Add line and text box to show your data center’s </w:t>
      </w:r>
      <w:r w:rsidR="0075375C">
        <w:rPr>
          <w:b/>
          <w:sz w:val="22"/>
          <w:szCs w:val="22"/>
          <w:highlight w:val="yellow"/>
        </w:rPr>
        <w:t>M</w:t>
      </w:r>
      <w:r w:rsidR="0075375C" w:rsidRPr="0075375C">
        <w:rPr>
          <w:b/>
          <w:sz w:val="22"/>
          <w:szCs w:val="22"/>
          <w:highlight w:val="yellow"/>
        </w:rPr>
        <w:t>easured IT load density</w:t>
      </w:r>
    </w:p>
    <w:p w14:paraId="7FB4FF83" w14:textId="304B10AE" w:rsidR="006B3956" w:rsidRDefault="00E45A29" w:rsidP="006B1DB6">
      <w:pPr>
        <w:pStyle w:val="Heading1"/>
      </w:pPr>
      <w:bookmarkStart w:id="10" w:name="_Toc328915522"/>
      <w:r>
        <w:t xml:space="preserve">7. </w:t>
      </w:r>
      <w:r w:rsidR="006B1DB6">
        <w:t>Recommended Energy Efficiency Measures</w:t>
      </w:r>
      <w:bookmarkEnd w:id="10"/>
      <w:r w:rsidR="006B1DB6">
        <w:t xml:space="preserve"> </w:t>
      </w:r>
    </w:p>
    <w:p w14:paraId="7CDF4EA7" w14:textId="73CB322C" w:rsidR="00DC3ED3" w:rsidRDefault="004E29A3" w:rsidP="00DC3ED3">
      <w:pPr>
        <w:rPr>
          <w:sz w:val="22"/>
          <w:szCs w:val="22"/>
        </w:rPr>
      </w:pPr>
      <w:r>
        <w:rPr>
          <w:sz w:val="22"/>
          <w:szCs w:val="22"/>
        </w:rPr>
        <w:t xml:space="preserve">Below is a summary and detailed information on the energy efficiency measures (EEMs) recommended for further consideration. </w:t>
      </w:r>
      <w:r w:rsidR="00C22114">
        <w:rPr>
          <w:sz w:val="22"/>
          <w:szCs w:val="22"/>
          <w:highlight w:val="yellow"/>
        </w:rPr>
        <w:t xml:space="preserve">Guidance and </w:t>
      </w:r>
      <w:r w:rsidR="00DE2628" w:rsidRPr="00DE2628">
        <w:rPr>
          <w:sz w:val="22"/>
          <w:szCs w:val="22"/>
          <w:highlight w:val="yellow"/>
        </w:rPr>
        <w:t xml:space="preserve">language for best practice </w:t>
      </w:r>
      <w:r w:rsidR="00C22114">
        <w:rPr>
          <w:sz w:val="22"/>
          <w:szCs w:val="22"/>
          <w:highlight w:val="yellow"/>
        </w:rPr>
        <w:t>EEMs</w:t>
      </w:r>
      <w:r w:rsidR="00DE2628" w:rsidRPr="00DE2628">
        <w:rPr>
          <w:sz w:val="22"/>
          <w:szCs w:val="22"/>
          <w:highlight w:val="yellow"/>
        </w:rPr>
        <w:t xml:space="preserve"> </w:t>
      </w:r>
      <w:r w:rsidR="00C22114">
        <w:rPr>
          <w:sz w:val="22"/>
          <w:szCs w:val="22"/>
          <w:highlight w:val="yellow"/>
        </w:rPr>
        <w:t>are</w:t>
      </w:r>
      <w:r w:rsidR="00DE2628" w:rsidRPr="00DE2628">
        <w:rPr>
          <w:sz w:val="22"/>
          <w:szCs w:val="22"/>
          <w:highlight w:val="yellow"/>
        </w:rPr>
        <w:t xml:space="preserve"> </w:t>
      </w:r>
      <w:r w:rsidR="00C22114">
        <w:rPr>
          <w:sz w:val="22"/>
          <w:szCs w:val="22"/>
          <w:highlight w:val="yellow"/>
        </w:rPr>
        <w:t>outlined</w:t>
      </w:r>
      <w:r w:rsidR="00DE2628" w:rsidRPr="00DE2628">
        <w:rPr>
          <w:sz w:val="22"/>
          <w:szCs w:val="22"/>
          <w:highlight w:val="yellow"/>
        </w:rPr>
        <w:t xml:space="preserve"> in the Data Center Master List of Energy Efficient Actions </w:t>
      </w:r>
      <w:r w:rsidR="00DE2628">
        <w:rPr>
          <w:sz w:val="22"/>
          <w:szCs w:val="22"/>
          <w:highlight w:val="yellow"/>
        </w:rPr>
        <w:t>on the Center of Expertise for Energy Efficiency</w:t>
      </w:r>
      <w:r w:rsidR="00C22114">
        <w:rPr>
          <w:sz w:val="22"/>
          <w:szCs w:val="22"/>
          <w:highlight w:val="yellow"/>
        </w:rPr>
        <w:t xml:space="preserve"> in Data Centers</w:t>
      </w:r>
      <w:r w:rsidR="00B23C9A">
        <w:rPr>
          <w:sz w:val="22"/>
          <w:szCs w:val="22"/>
          <w:highlight w:val="yellow"/>
        </w:rPr>
        <w:t xml:space="preserve"> web</w:t>
      </w:r>
      <w:r w:rsidR="00DE2628">
        <w:rPr>
          <w:sz w:val="22"/>
          <w:szCs w:val="22"/>
          <w:highlight w:val="yellow"/>
        </w:rPr>
        <w:t>site</w:t>
      </w:r>
      <w:r w:rsidR="00DE2628" w:rsidRPr="00DE2628">
        <w:rPr>
          <w:sz w:val="22"/>
          <w:szCs w:val="22"/>
          <w:highlight w:val="yellow"/>
        </w:rPr>
        <w:t>:</w:t>
      </w:r>
      <w:r w:rsidR="00DE2628">
        <w:rPr>
          <w:sz w:val="22"/>
          <w:szCs w:val="22"/>
        </w:rPr>
        <w:t xml:space="preserve"> </w:t>
      </w:r>
      <w:r w:rsidR="00DE2628" w:rsidRPr="00DE2628">
        <w:rPr>
          <w:sz w:val="22"/>
          <w:szCs w:val="22"/>
          <w:highlight w:val="yellow"/>
        </w:rPr>
        <w:t>datacenters.lbl.gov/tools/8-data-center-master-list-efficiency-actions</w:t>
      </w:r>
    </w:p>
    <w:p w14:paraId="19D16083" w14:textId="77777777" w:rsidR="00DC3ED3" w:rsidRPr="00DC3ED3" w:rsidRDefault="00DC3ED3" w:rsidP="00DC3ED3">
      <w:pPr>
        <w:rPr>
          <w:sz w:val="22"/>
          <w:szCs w:val="22"/>
        </w:rPr>
      </w:pP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800"/>
        <w:gridCol w:w="1837"/>
        <w:gridCol w:w="2065"/>
      </w:tblGrid>
      <w:tr w:rsidR="00DC3ED3" w:rsidRPr="00D923D8" w14:paraId="50D59C8E" w14:textId="77777777" w:rsidTr="00D25670">
        <w:tc>
          <w:tcPr>
            <w:tcW w:w="1440" w:type="dxa"/>
          </w:tcPr>
          <w:p w14:paraId="10430B2D" w14:textId="77777777" w:rsidR="00DC3ED3" w:rsidRPr="009F723A" w:rsidRDefault="00DC3ED3" w:rsidP="00D25670">
            <w:pPr>
              <w:pStyle w:val="FigureTable"/>
              <w:ind w:left="0"/>
              <w:rPr>
                <w:b/>
                <w:sz w:val="22"/>
                <w:szCs w:val="22"/>
              </w:rPr>
            </w:pPr>
            <w:r w:rsidRPr="009F723A">
              <w:rPr>
                <w:b/>
                <w:sz w:val="22"/>
                <w:szCs w:val="22"/>
              </w:rPr>
              <w:t>Grouped Efficiency Measures (EEMs)</w:t>
            </w:r>
          </w:p>
        </w:tc>
        <w:tc>
          <w:tcPr>
            <w:tcW w:w="1620" w:type="dxa"/>
          </w:tcPr>
          <w:p w14:paraId="7710789D" w14:textId="77777777" w:rsidR="00DC3ED3" w:rsidRPr="009F723A" w:rsidRDefault="00DC3ED3" w:rsidP="00D25670">
            <w:pPr>
              <w:pStyle w:val="FigureTable"/>
              <w:ind w:left="0"/>
              <w:rPr>
                <w:b/>
                <w:sz w:val="22"/>
                <w:szCs w:val="22"/>
              </w:rPr>
            </w:pPr>
            <w:r w:rsidRPr="009F723A">
              <w:rPr>
                <w:b/>
                <w:sz w:val="22"/>
                <w:szCs w:val="22"/>
              </w:rPr>
              <w:t>Estimated Installed Cost</w:t>
            </w:r>
          </w:p>
          <w:p w14:paraId="4DF012E0" w14:textId="77777777" w:rsidR="00DC3ED3" w:rsidRPr="009F723A" w:rsidRDefault="00DC3ED3" w:rsidP="00D25670">
            <w:pPr>
              <w:pStyle w:val="FigureTable"/>
              <w:ind w:left="0"/>
              <w:rPr>
                <w:b/>
                <w:sz w:val="22"/>
                <w:szCs w:val="22"/>
              </w:rPr>
            </w:pPr>
            <w:r w:rsidRPr="009F723A">
              <w:rPr>
                <w:b/>
                <w:sz w:val="22"/>
                <w:szCs w:val="22"/>
              </w:rPr>
              <w:t>($)</w:t>
            </w:r>
          </w:p>
        </w:tc>
        <w:tc>
          <w:tcPr>
            <w:tcW w:w="1800" w:type="dxa"/>
          </w:tcPr>
          <w:p w14:paraId="0E10EE53" w14:textId="77777777" w:rsidR="00DC3ED3" w:rsidRPr="009F723A" w:rsidRDefault="00DC3ED3" w:rsidP="00D25670">
            <w:pPr>
              <w:pStyle w:val="FigureTable"/>
              <w:ind w:left="0"/>
              <w:rPr>
                <w:b/>
                <w:sz w:val="22"/>
                <w:szCs w:val="22"/>
              </w:rPr>
            </w:pPr>
            <w:r w:rsidRPr="009F723A">
              <w:rPr>
                <w:b/>
                <w:sz w:val="22"/>
                <w:szCs w:val="22"/>
              </w:rPr>
              <w:t>Estimated Yearly Energy Savings</w:t>
            </w:r>
          </w:p>
          <w:p w14:paraId="3A939C8D" w14:textId="77777777" w:rsidR="00DC3ED3" w:rsidRPr="009F723A" w:rsidRDefault="00DC3ED3" w:rsidP="00D25670">
            <w:pPr>
              <w:pStyle w:val="FigureTable"/>
              <w:ind w:left="0"/>
              <w:rPr>
                <w:b/>
                <w:sz w:val="22"/>
                <w:szCs w:val="22"/>
              </w:rPr>
            </w:pPr>
            <w:r w:rsidRPr="009F723A">
              <w:rPr>
                <w:b/>
                <w:sz w:val="22"/>
                <w:szCs w:val="22"/>
              </w:rPr>
              <w:t>(kWh)</w:t>
            </w:r>
          </w:p>
        </w:tc>
        <w:tc>
          <w:tcPr>
            <w:tcW w:w="1837" w:type="dxa"/>
          </w:tcPr>
          <w:p w14:paraId="4BE9A21E" w14:textId="77777777" w:rsidR="00DC3ED3" w:rsidRPr="009F723A" w:rsidRDefault="00DC3ED3" w:rsidP="00D25670">
            <w:pPr>
              <w:pStyle w:val="FigureTable"/>
              <w:ind w:left="0"/>
              <w:rPr>
                <w:b/>
                <w:sz w:val="22"/>
                <w:szCs w:val="22"/>
              </w:rPr>
            </w:pPr>
            <w:r w:rsidRPr="009F723A">
              <w:rPr>
                <w:b/>
                <w:sz w:val="22"/>
                <w:szCs w:val="22"/>
              </w:rPr>
              <w:t xml:space="preserve">Estimated Yearly Dollar Savings </w:t>
            </w:r>
          </w:p>
          <w:p w14:paraId="5CFD2B05" w14:textId="77777777" w:rsidR="00DC3ED3" w:rsidRPr="009F723A" w:rsidRDefault="00DC3ED3" w:rsidP="00D25670">
            <w:pPr>
              <w:pStyle w:val="FigureTable"/>
              <w:ind w:left="0"/>
              <w:rPr>
                <w:b/>
                <w:sz w:val="22"/>
                <w:szCs w:val="22"/>
              </w:rPr>
            </w:pPr>
            <w:r w:rsidRPr="009F723A">
              <w:rPr>
                <w:b/>
                <w:sz w:val="22"/>
                <w:szCs w:val="22"/>
              </w:rPr>
              <w:t>($)</w:t>
            </w:r>
          </w:p>
        </w:tc>
        <w:tc>
          <w:tcPr>
            <w:tcW w:w="2065" w:type="dxa"/>
          </w:tcPr>
          <w:p w14:paraId="77683BA6" w14:textId="77777777" w:rsidR="00DC3ED3" w:rsidRPr="009F723A" w:rsidRDefault="00DC3ED3" w:rsidP="00D25670">
            <w:pPr>
              <w:pStyle w:val="FigureTable"/>
              <w:ind w:left="0"/>
              <w:rPr>
                <w:b/>
                <w:sz w:val="22"/>
                <w:szCs w:val="22"/>
              </w:rPr>
            </w:pPr>
            <w:r w:rsidRPr="009F723A">
              <w:rPr>
                <w:b/>
                <w:sz w:val="22"/>
                <w:szCs w:val="22"/>
              </w:rPr>
              <w:t>Estimated Simple Payback</w:t>
            </w:r>
          </w:p>
          <w:p w14:paraId="74C55187" w14:textId="77777777" w:rsidR="00DC3ED3" w:rsidRPr="009F723A" w:rsidRDefault="00DC3ED3" w:rsidP="00D25670">
            <w:pPr>
              <w:pStyle w:val="FigureTable"/>
              <w:ind w:left="0"/>
              <w:rPr>
                <w:b/>
                <w:sz w:val="22"/>
                <w:szCs w:val="22"/>
              </w:rPr>
            </w:pPr>
            <w:r w:rsidRPr="009F723A">
              <w:rPr>
                <w:b/>
                <w:sz w:val="22"/>
                <w:szCs w:val="22"/>
              </w:rPr>
              <w:t>(Years)</w:t>
            </w:r>
          </w:p>
        </w:tc>
      </w:tr>
      <w:tr w:rsidR="00DC3ED3" w:rsidRPr="00EB159B" w14:paraId="0DDFD136" w14:textId="77777777" w:rsidTr="00D25670">
        <w:tc>
          <w:tcPr>
            <w:tcW w:w="1440" w:type="dxa"/>
          </w:tcPr>
          <w:p w14:paraId="2DE3DECF" w14:textId="77777777" w:rsidR="00DC3ED3" w:rsidRPr="009F723A" w:rsidRDefault="00DC3ED3" w:rsidP="00D25670">
            <w:pPr>
              <w:pStyle w:val="FigureTable"/>
              <w:ind w:left="0"/>
              <w:rPr>
                <w:sz w:val="22"/>
                <w:szCs w:val="22"/>
              </w:rPr>
            </w:pPr>
          </w:p>
        </w:tc>
        <w:tc>
          <w:tcPr>
            <w:tcW w:w="1620" w:type="dxa"/>
          </w:tcPr>
          <w:p w14:paraId="19E78245" w14:textId="49654298" w:rsidR="00DC3ED3" w:rsidRPr="009F723A" w:rsidRDefault="00DC3ED3" w:rsidP="00D25670">
            <w:pPr>
              <w:pStyle w:val="FigureTable"/>
              <w:ind w:left="0"/>
              <w:rPr>
                <w:sz w:val="22"/>
                <w:szCs w:val="22"/>
              </w:rPr>
            </w:pPr>
          </w:p>
        </w:tc>
        <w:tc>
          <w:tcPr>
            <w:tcW w:w="1800" w:type="dxa"/>
          </w:tcPr>
          <w:p w14:paraId="617D4717" w14:textId="77777777" w:rsidR="00DC3ED3" w:rsidRPr="009F723A" w:rsidRDefault="00DC3ED3" w:rsidP="00D25670">
            <w:pPr>
              <w:pStyle w:val="FigureTable"/>
              <w:ind w:left="0"/>
              <w:rPr>
                <w:sz w:val="22"/>
                <w:szCs w:val="22"/>
              </w:rPr>
            </w:pPr>
          </w:p>
        </w:tc>
        <w:tc>
          <w:tcPr>
            <w:tcW w:w="1837" w:type="dxa"/>
          </w:tcPr>
          <w:p w14:paraId="1E1D15C6" w14:textId="4CB8A027" w:rsidR="00DC3ED3" w:rsidRPr="009F723A" w:rsidRDefault="00DC3ED3" w:rsidP="00D25670">
            <w:pPr>
              <w:pStyle w:val="FigureTable"/>
              <w:ind w:left="0"/>
              <w:rPr>
                <w:sz w:val="22"/>
                <w:szCs w:val="22"/>
              </w:rPr>
            </w:pPr>
          </w:p>
        </w:tc>
        <w:tc>
          <w:tcPr>
            <w:tcW w:w="2065" w:type="dxa"/>
          </w:tcPr>
          <w:p w14:paraId="5CD90D4B" w14:textId="77777777" w:rsidR="00DC3ED3" w:rsidRPr="009F723A" w:rsidRDefault="00DC3ED3" w:rsidP="00D25670">
            <w:pPr>
              <w:pStyle w:val="FigureTable"/>
              <w:ind w:left="0"/>
              <w:rPr>
                <w:sz w:val="22"/>
                <w:szCs w:val="22"/>
              </w:rPr>
            </w:pPr>
          </w:p>
        </w:tc>
      </w:tr>
      <w:tr w:rsidR="00DC3ED3" w:rsidRPr="00EB159B" w14:paraId="39657CB7" w14:textId="77777777" w:rsidTr="00D25670">
        <w:tc>
          <w:tcPr>
            <w:tcW w:w="1440" w:type="dxa"/>
          </w:tcPr>
          <w:p w14:paraId="5E69CBB9" w14:textId="77777777" w:rsidR="00DC3ED3" w:rsidRPr="009F723A" w:rsidRDefault="00DC3ED3" w:rsidP="00D25670">
            <w:pPr>
              <w:pStyle w:val="FigureTable"/>
              <w:ind w:left="0"/>
              <w:rPr>
                <w:sz w:val="22"/>
                <w:szCs w:val="22"/>
              </w:rPr>
            </w:pPr>
          </w:p>
        </w:tc>
        <w:tc>
          <w:tcPr>
            <w:tcW w:w="1620" w:type="dxa"/>
          </w:tcPr>
          <w:p w14:paraId="1BB96082" w14:textId="77777777" w:rsidR="00DC3ED3" w:rsidRPr="009F723A" w:rsidRDefault="00DC3ED3" w:rsidP="00D25670">
            <w:pPr>
              <w:pStyle w:val="FigureTable"/>
              <w:ind w:left="0"/>
              <w:rPr>
                <w:sz w:val="22"/>
                <w:szCs w:val="22"/>
              </w:rPr>
            </w:pPr>
          </w:p>
        </w:tc>
        <w:tc>
          <w:tcPr>
            <w:tcW w:w="1800" w:type="dxa"/>
          </w:tcPr>
          <w:p w14:paraId="31B82F13" w14:textId="77777777" w:rsidR="00DC3ED3" w:rsidRPr="009F723A" w:rsidRDefault="00DC3ED3" w:rsidP="00D25670">
            <w:pPr>
              <w:pStyle w:val="FigureTable"/>
              <w:ind w:left="0"/>
              <w:rPr>
                <w:sz w:val="22"/>
                <w:szCs w:val="22"/>
              </w:rPr>
            </w:pPr>
          </w:p>
        </w:tc>
        <w:tc>
          <w:tcPr>
            <w:tcW w:w="1837" w:type="dxa"/>
          </w:tcPr>
          <w:p w14:paraId="01F2A933" w14:textId="77777777" w:rsidR="00DC3ED3" w:rsidRPr="009F723A" w:rsidRDefault="00DC3ED3" w:rsidP="00D25670">
            <w:pPr>
              <w:pStyle w:val="FigureTable"/>
              <w:ind w:left="0"/>
              <w:rPr>
                <w:sz w:val="22"/>
                <w:szCs w:val="22"/>
              </w:rPr>
            </w:pPr>
          </w:p>
        </w:tc>
        <w:tc>
          <w:tcPr>
            <w:tcW w:w="2065" w:type="dxa"/>
          </w:tcPr>
          <w:p w14:paraId="5551ACF8" w14:textId="77777777" w:rsidR="00DC3ED3" w:rsidRPr="009F723A" w:rsidRDefault="00DC3ED3" w:rsidP="00D25670">
            <w:pPr>
              <w:pStyle w:val="FigureTable"/>
              <w:ind w:left="0"/>
              <w:rPr>
                <w:sz w:val="22"/>
                <w:szCs w:val="22"/>
              </w:rPr>
            </w:pPr>
          </w:p>
        </w:tc>
      </w:tr>
      <w:tr w:rsidR="00DC3ED3" w:rsidRPr="00EB159B" w14:paraId="4FFFAC38" w14:textId="77777777" w:rsidTr="00D25670">
        <w:tc>
          <w:tcPr>
            <w:tcW w:w="1440" w:type="dxa"/>
          </w:tcPr>
          <w:p w14:paraId="056E4210" w14:textId="77777777" w:rsidR="00DC3ED3" w:rsidRPr="009F723A" w:rsidRDefault="00DC3ED3" w:rsidP="00D25670">
            <w:pPr>
              <w:pStyle w:val="FigureTable"/>
              <w:ind w:left="0"/>
              <w:rPr>
                <w:b/>
                <w:sz w:val="22"/>
                <w:szCs w:val="22"/>
              </w:rPr>
            </w:pPr>
            <w:r w:rsidRPr="009F723A">
              <w:rPr>
                <w:b/>
                <w:sz w:val="22"/>
                <w:szCs w:val="22"/>
              </w:rPr>
              <w:t>Totals</w:t>
            </w:r>
          </w:p>
        </w:tc>
        <w:tc>
          <w:tcPr>
            <w:tcW w:w="1620" w:type="dxa"/>
          </w:tcPr>
          <w:p w14:paraId="71E92186" w14:textId="77777777" w:rsidR="00DC3ED3" w:rsidRPr="009F723A" w:rsidRDefault="00DC3ED3" w:rsidP="00D25670">
            <w:pPr>
              <w:pStyle w:val="FigureTable"/>
              <w:ind w:left="0"/>
              <w:rPr>
                <w:b/>
                <w:sz w:val="22"/>
                <w:szCs w:val="22"/>
              </w:rPr>
            </w:pPr>
            <w:r w:rsidRPr="009F723A">
              <w:rPr>
                <w:b/>
                <w:sz w:val="22"/>
                <w:szCs w:val="22"/>
              </w:rPr>
              <w:t>$</w:t>
            </w:r>
          </w:p>
        </w:tc>
        <w:tc>
          <w:tcPr>
            <w:tcW w:w="1800" w:type="dxa"/>
          </w:tcPr>
          <w:p w14:paraId="17B7F6FC" w14:textId="77777777" w:rsidR="00DC3ED3" w:rsidRPr="009F723A" w:rsidRDefault="00DC3ED3" w:rsidP="00D25670">
            <w:pPr>
              <w:pStyle w:val="FigureTable"/>
              <w:ind w:left="0"/>
              <w:rPr>
                <w:b/>
                <w:sz w:val="22"/>
                <w:szCs w:val="22"/>
              </w:rPr>
            </w:pPr>
          </w:p>
        </w:tc>
        <w:tc>
          <w:tcPr>
            <w:tcW w:w="1837" w:type="dxa"/>
          </w:tcPr>
          <w:p w14:paraId="078AEB35" w14:textId="77777777" w:rsidR="00DC3ED3" w:rsidRPr="009F723A" w:rsidRDefault="00DC3ED3" w:rsidP="00D25670">
            <w:pPr>
              <w:pStyle w:val="FigureTable"/>
              <w:ind w:left="0"/>
              <w:rPr>
                <w:b/>
                <w:sz w:val="22"/>
                <w:szCs w:val="22"/>
                <w:highlight w:val="yellow"/>
              </w:rPr>
            </w:pPr>
            <w:r w:rsidRPr="009F723A">
              <w:rPr>
                <w:b/>
                <w:sz w:val="22"/>
                <w:szCs w:val="22"/>
              </w:rPr>
              <w:t>$</w:t>
            </w:r>
          </w:p>
        </w:tc>
        <w:tc>
          <w:tcPr>
            <w:tcW w:w="2065" w:type="dxa"/>
          </w:tcPr>
          <w:p w14:paraId="776DF291" w14:textId="77777777" w:rsidR="00DC3ED3" w:rsidRPr="009F723A" w:rsidRDefault="00DC3ED3" w:rsidP="00D25670">
            <w:pPr>
              <w:pStyle w:val="FigureTable"/>
              <w:ind w:left="0"/>
              <w:rPr>
                <w:b/>
                <w:sz w:val="22"/>
                <w:szCs w:val="22"/>
              </w:rPr>
            </w:pPr>
            <w:r w:rsidRPr="009F723A">
              <w:rPr>
                <w:b/>
                <w:sz w:val="22"/>
                <w:szCs w:val="22"/>
                <w:highlight w:val="yellow"/>
              </w:rPr>
              <w:t>Weighted average</w:t>
            </w:r>
          </w:p>
        </w:tc>
      </w:tr>
    </w:tbl>
    <w:p w14:paraId="7EE41D40" w14:textId="77953FE5" w:rsidR="00DC3ED3" w:rsidRPr="009F723A" w:rsidRDefault="00DC3ED3" w:rsidP="00DC3ED3">
      <w:pPr>
        <w:jc w:val="center"/>
        <w:rPr>
          <w:b/>
          <w:sz w:val="22"/>
          <w:szCs w:val="22"/>
        </w:rPr>
      </w:pPr>
      <w:r w:rsidRPr="009F723A">
        <w:rPr>
          <w:b/>
          <w:sz w:val="22"/>
          <w:szCs w:val="22"/>
        </w:rPr>
        <w:t>Table 8 – Saving and Payback Summary</w:t>
      </w:r>
    </w:p>
    <w:p w14:paraId="33C13585" w14:textId="77777777" w:rsidR="00DC3ED3" w:rsidRDefault="00DC3ED3" w:rsidP="00DC3ED3">
      <w:pPr>
        <w:jc w:val="center"/>
        <w:rPr>
          <w:b/>
        </w:rPr>
      </w:pPr>
    </w:p>
    <w:p w14:paraId="3212AD1C" w14:textId="291D194D" w:rsidR="004E29A3" w:rsidRDefault="004E29A3" w:rsidP="00DC3ED3">
      <w:pPr>
        <w:rPr>
          <w:b/>
          <w:highlight w:val="yellow"/>
        </w:rPr>
      </w:pPr>
      <w:r>
        <w:rPr>
          <w:b/>
          <w:highlight w:val="yellow"/>
        </w:rPr>
        <w:t>EEM 1</w:t>
      </w:r>
    </w:p>
    <w:p w14:paraId="162EF693" w14:textId="2C9E3A6E" w:rsidR="00DC3ED3" w:rsidRDefault="004E29A3" w:rsidP="00DC3ED3">
      <w:r>
        <w:rPr>
          <w:highlight w:val="yellow"/>
        </w:rPr>
        <w:t>List EEM</w:t>
      </w:r>
      <w:r w:rsidRPr="004E29A3">
        <w:rPr>
          <w:highlight w:val="yellow"/>
        </w:rPr>
        <w:t xml:space="preserve"> in more detail including why the measure is being recommended and helpful information for decision-making and implementation.</w:t>
      </w:r>
      <w:r w:rsidRPr="004E29A3">
        <w:t xml:space="preserve"> </w:t>
      </w:r>
    </w:p>
    <w:p w14:paraId="5C6073A4" w14:textId="77777777" w:rsidR="004E29A3" w:rsidRDefault="004E29A3" w:rsidP="00DC3ED3"/>
    <w:p w14:paraId="2534852D" w14:textId="1284EFAC" w:rsidR="004E29A3" w:rsidRDefault="004E29A3" w:rsidP="004E29A3">
      <w:pPr>
        <w:rPr>
          <w:b/>
          <w:highlight w:val="yellow"/>
        </w:rPr>
      </w:pPr>
      <w:r>
        <w:rPr>
          <w:b/>
          <w:highlight w:val="yellow"/>
        </w:rPr>
        <w:t>EEM 2</w:t>
      </w:r>
    </w:p>
    <w:p w14:paraId="7B413E28" w14:textId="193B1AB3" w:rsidR="004E29A3" w:rsidRDefault="004E29A3" w:rsidP="00DC3ED3">
      <w:r>
        <w:rPr>
          <w:highlight w:val="yellow"/>
        </w:rPr>
        <w:t>List EEM</w:t>
      </w:r>
      <w:r w:rsidRPr="004E29A3">
        <w:rPr>
          <w:highlight w:val="yellow"/>
        </w:rPr>
        <w:t xml:space="preserve"> in more detail including why the measure is being recommended and helpful information for decision-making and implementation.</w:t>
      </w:r>
      <w:r w:rsidRPr="004E29A3">
        <w:t xml:space="preserve"> </w:t>
      </w:r>
    </w:p>
    <w:p w14:paraId="35EFA441" w14:textId="00CD0510" w:rsidR="00216B32" w:rsidRDefault="00216B32" w:rsidP="00F43170">
      <w:pPr>
        <w:pStyle w:val="Heading3"/>
      </w:pPr>
      <w:r>
        <w:t>Additional Measures or Strategies</w:t>
      </w:r>
    </w:p>
    <w:p w14:paraId="55AD7763" w14:textId="65A92DEB" w:rsidR="00D93476" w:rsidRDefault="00F43170" w:rsidP="00DC3ED3">
      <w:pPr>
        <w:rPr>
          <w:sz w:val="22"/>
          <w:szCs w:val="22"/>
        </w:rPr>
      </w:pPr>
      <w:r w:rsidRPr="00F43170">
        <w:rPr>
          <w:sz w:val="22"/>
          <w:szCs w:val="22"/>
          <w:highlight w:val="yellow"/>
        </w:rPr>
        <w:t>Include additional guidance on overall strategies or things to consider going forward.</w:t>
      </w:r>
    </w:p>
    <w:p w14:paraId="5447E857" w14:textId="77777777" w:rsidR="00F43170" w:rsidRPr="00F43170" w:rsidRDefault="00F43170" w:rsidP="00DC3ED3">
      <w:pPr>
        <w:rPr>
          <w:sz w:val="22"/>
          <w:szCs w:val="22"/>
        </w:rPr>
      </w:pPr>
    </w:p>
    <w:p w14:paraId="0BDFC217" w14:textId="59A0402F" w:rsidR="00653154" w:rsidRPr="006666A6" w:rsidRDefault="00D93476" w:rsidP="00DC3ED3">
      <w:pPr>
        <w:rPr>
          <w:sz w:val="22"/>
          <w:szCs w:val="22"/>
        </w:rPr>
      </w:pPr>
      <w:r w:rsidRPr="00D93476">
        <w:rPr>
          <w:sz w:val="22"/>
          <w:szCs w:val="22"/>
        </w:rPr>
        <w:t xml:space="preserve">The pie charts below show the current data center energy breakdown (Figure </w:t>
      </w:r>
      <w:r>
        <w:rPr>
          <w:sz w:val="22"/>
          <w:szCs w:val="22"/>
          <w:highlight w:val="yellow"/>
        </w:rPr>
        <w:t>7</w:t>
      </w:r>
      <w:r w:rsidRPr="00D93476">
        <w:rPr>
          <w:sz w:val="22"/>
          <w:szCs w:val="22"/>
        </w:rPr>
        <w:t xml:space="preserve">) </w:t>
      </w:r>
      <w:r w:rsidR="00DE7E11">
        <w:rPr>
          <w:sz w:val="22"/>
          <w:szCs w:val="22"/>
        </w:rPr>
        <w:t xml:space="preserve">and the </w:t>
      </w:r>
      <w:r w:rsidRPr="00D93476">
        <w:rPr>
          <w:sz w:val="22"/>
          <w:szCs w:val="22"/>
        </w:rPr>
        <w:t>projected energy breakdown after</w:t>
      </w:r>
      <w:r w:rsidR="00942B77">
        <w:rPr>
          <w:sz w:val="22"/>
          <w:szCs w:val="22"/>
        </w:rPr>
        <w:t xml:space="preserve"> the</w:t>
      </w:r>
      <w:r w:rsidRPr="00D93476">
        <w:rPr>
          <w:sz w:val="22"/>
          <w:szCs w:val="22"/>
        </w:rPr>
        <w:t xml:space="preserve"> implementation of recommended measures</w:t>
      </w:r>
      <w:r w:rsidR="00DE7E11">
        <w:rPr>
          <w:sz w:val="22"/>
          <w:szCs w:val="22"/>
        </w:rPr>
        <w:t xml:space="preserve"> </w:t>
      </w:r>
      <w:r w:rsidR="00DE7E11" w:rsidRPr="00D93476">
        <w:rPr>
          <w:sz w:val="22"/>
          <w:szCs w:val="22"/>
        </w:rPr>
        <w:t xml:space="preserve">(Figure </w:t>
      </w:r>
      <w:r w:rsidR="00DE7E11">
        <w:rPr>
          <w:sz w:val="22"/>
          <w:szCs w:val="22"/>
          <w:highlight w:val="yellow"/>
        </w:rPr>
        <w:t>8</w:t>
      </w:r>
      <w:r w:rsidR="00DE7E11" w:rsidRPr="00D93476">
        <w:rPr>
          <w:sz w:val="22"/>
          <w:szCs w:val="22"/>
        </w:rPr>
        <w:t>)</w:t>
      </w:r>
      <w:r w:rsidRPr="00D93476">
        <w:rPr>
          <w:sz w:val="22"/>
          <w:szCs w:val="22"/>
        </w:rPr>
        <w:t xml:space="preserve">. </w:t>
      </w:r>
      <w:r w:rsidR="00DE7E11">
        <w:rPr>
          <w:sz w:val="22"/>
          <w:szCs w:val="22"/>
        </w:rPr>
        <w:t>T</w:t>
      </w:r>
      <w:r w:rsidRPr="00D93476">
        <w:rPr>
          <w:sz w:val="22"/>
          <w:szCs w:val="22"/>
        </w:rPr>
        <w:t xml:space="preserve">he estimate of the absolute number of </w:t>
      </w:r>
      <w:r w:rsidR="00F654B5" w:rsidRPr="00F654B5">
        <w:rPr>
          <w:sz w:val="22"/>
          <w:szCs w:val="22"/>
          <w:highlight w:val="yellow"/>
        </w:rPr>
        <w:t>xx</w:t>
      </w:r>
      <w:r w:rsidRPr="00D93476">
        <w:rPr>
          <w:sz w:val="22"/>
          <w:szCs w:val="22"/>
        </w:rPr>
        <w:t xml:space="preserve"> average kW in Figure </w:t>
      </w:r>
      <w:r w:rsidR="00DE7E11">
        <w:rPr>
          <w:sz w:val="22"/>
          <w:szCs w:val="22"/>
          <w:highlight w:val="yellow"/>
        </w:rPr>
        <w:t>8</w:t>
      </w:r>
      <w:r w:rsidRPr="00D93476">
        <w:rPr>
          <w:sz w:val="22"/>
          <w:szCs w:val="22"/>
        </w:rPr>
        <w:t xml:space="preserve"> assumes the IT load stays constant. As the IT load grows, the absolute total number will grow, and the absolute energy use of the electrical and cooling infrastructure will grow, but the PUE typically decreases since the infrastructure generally gets more efficient as the load increases.</w:t>
      </w:r>
    </w:p>
    <w:p w14:paraId="31B0A5C0" w14:textId="1A60B6FC" w:rsidR="007F421E" w:rsidRDefault="007F421E" w:rsidP="00653154">
      <w:pPr>
        <w:jc w:val="center"/>
        <w:rPr>
          <w:b/>
        </w:rPr>
      </w:pPr>
      <w:r w:rsidRPr="00653154">
        <w:rPr>
          <w:b/>
          <w:noProof/>
        </w:rPr>
        <w:drawing>
          <wp:anchor distT="0" distB="0" distL="114300" distR="114300" simplePos="0" relativeHeight="251665408" behindDoc="0" locked="0" layoutInCell="1" allowOverlap="1" wp14:anchorId="2C7C1227" wp14:editId="1837077C">
            <wp:simplePos x="0" y="0"/>
            <wp:positionH relativeFrom="margin">
              <wp:align>center</wp:align>
            </wp:positionH>
            <wp:positionV relativeFrom="margin">
              <wp:align>top</wp:align>
            </wp:positionV>
            <wp:extent cx="4457700" cy="3570605"/>
            <wp:effectExtent l="0" t="0" r="0" b="1079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653154" w:rsidRPr="00653154">
        <w:rPr>
          <w:b/>
        </w:rPr>
        <w:t xml:space="preserve">Figure 7 – Current </w:t>
      </w:r>
      <w:r w:rsidR="00760062">
        <w:rPr>
          <w:b/>
        </w:rPr>
        <w:t>Facility Performance</w:t>
      </w:r>
      <w:r w:rsidR="00653154" w:rsidRPr="00653154">
        <w:rPr>
          <w:b/>
        </w:rPr>
        <w:t xml:space="preserve"> (</w:t>
      </w:r>
      <w:r w:rsidR="00942B77">
        <w:rPr>
          <w:b/>
          <w:highlight w:val="yellow"/>
        </w:rPr>
        <w:t>xx</w:t>
      </w:r>
      <w:r w:rsidR="00942B77" w:rsidRPr="00653154">
        <w:rPr>
          <w:b/>
        </w:rPr>
        <w:t xml:space="preserve"> total kW as of </w:t>
      </w:r>
      <w:r w:rsidR="00942B77" w:rsidRPr="00540A0E">
        <w:rPr>
          <w:b/>
          <w:highlight w:val="yellow"/>
        </w:rPr>
        <w:t>Month/Year</w:t>
      </w:r>
      <w:r w:rsidR="00653154" w:rsidRPr="00653154">
        <w:rPr>
          <w:b/>
        </w:rPr>
        <w:t>)</w:t>
      </w:r>
    </w:p>
    <w:p w14:paraId="4F82830A" w14:textId="0B58A25D" w:rsidR="007F421E" w:rsidRPr="007F421E" w:rsidRDefault="00C31A4D" w:rsidP="007F421E">
      <w:r w:rsidRPr="00653154">
        <w:rPr>
          <w:b/>
          <w:noProof/>
        </w:rPr>
        <w:drawing>
          <wp:anchor distT="0" distB="0" distL="114300" distR="114300" simplePos="0" relativeHeight="251666432" behindDoc="0" locked="0" layoutInCell="1" allowOverlap="1" wp14:anchorId="4BAF57A5" wp14:editId="424AC611">
            <wp:simplePos x="0" y="0"/>
            <wp:positionH relativeFrom="margin">
              <wp:posOffset>571500</wp:posOffset>
            </wp:positionH>
            <wp:positionV relativeFrom="margin">
              <wp:posOffset>3886200</wp:posOffset>
            </wp:positionV>
            <wp:extent cx="4572000" cy="3538855"/>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872C456" w14:textId="77777777" w:rsidR="007F421E" w:rsidRPr="007F421E" w:rsidRDefault="007F421E" w:rsidP="007F421E"/>
    <w:p w14:paraId="687C4708" w14:textId="77777777" w:rsidR="007F421E" w:rsidRPr="007F421E" w:rsidRDefault="007F421E" w:rsidP="007F421E"/>
    <w:p w14:paraId="4A71B062" w14:textId="77777777" w:rsidR="007F421E" w:rsidRPr="007F421E" w:rsidRDefault="007F421E" w:rsidP="007F421E"/>
    <w:p w14:paraId="3CA7CCBA" w14:textId="77777777" w:rsidR="007F421E" w:rsidRPr="007F421E" w:rsidRDefault="007F421E" w:rsidP="007F421E"/>
    <w:p w14:paraId="384BDF3E" w14:textId="77777777" w:rsidR="007F421E" w:rsidRPr="007F421E" w:rsidRDefault="007F421E" w:rsidP="007F421E"/>
    <w:p w14:paraId="5193A4E6" w14:textId="77777777" w:rsidR="007F421E" w:rsidRPr="007F421E" w:rsidRDefault="007F421E" w:rsidP="007F421E"/>
    <w:p w14:paraId="6BFE7217" w14:textId="77777777" w:rsidR="007F421E" w:rsidRPr="007F421E" w:rsidRDefault="007F421E" w:rsidP="007F421E"/>
    <w:p w14:paraId="13DF4CF0" w14:textId="77777777" w:rsidR="007F421E" w:rsidRPr="007F421E" w:rsidRDefault="007F421E" w:rsidP="007F421E"/>
    <w:p w14:paraId="60534459" w14:textId="77777777" w:rsidR="007F421E" w:rsidRPr="007F421E" w:rsidRDefault="007F421E" w:rsidP="007F421E"/>
    <w:p w14:paraId="300E5DD8" w14:textId="77777777" w:rsidR="007F421E" w:rsidRPr="007F421E" w:rsidRDefault="007F421E" w:rsidP="007F421E"/>
    <w:p w14:paraId="67422257" w14:textId="77777777" w:rsidR="007F421E" w:rsidRPr="007F421E" w:rsidRDefault="007F421E" w:rsidP="007F421E"/>
    <w:p w14:paraId="0F88CCBA" w14:textId="77777777" w:rsidR="007F421E" w:rsidRPr="007F421E" w:rsidRDefault="007F421E" w:rsidP="007F421E"/>
    <w:p w14:paraId="64C1A419" w14:textId="77777777" w:rsidR="007F421E" w:rsidRPr="007F421E" w:rsidRDefault="007F421E" w:rsidP="007F421E"/>
    <w:p w14:paraId="564F5B1C" w14:textId="77777777" w:rsidR="007F421E" w:rsidRPr="007F421E" w:rsidRDefault="007F421E" w:rsidP="007F421E"/>
    <w:p w14:paraId="3A1EF5C2" w14:textId="77777777" w:rsidR="007F421E" w:rsidRPr="007F421E" w:rsidRDefault="007F421E" w:rsidP="007F421E"/>
    <w:p w14:paraId="7AECC9B3" w14:textId="77777777" w:rsidR="007F421E" w:rsidRPr="007F421E" w:rsidRDefault="007F421E" w:rsidP="007F421E"/>
    <w:p w14:paraId="295CCD27" w14:textId="77777777" w:rsidR="007F421E" w:rsidRPr="007F421E" w:rsidRDefault="007F421E" w:rsidP="007F421E"/>
    <w:p w14:paraId="25B671B4" w14:textId="77777777" w:rsidR="007F421E" w:rsidRPr="007F421E" w:rsidRDefault="007F421E" w:rsidP="007F421E"/>
    <w:p w14:paraId="7DB372CD" w14:textId="77777777" w:rsidR="007F421E" w:rsidRPr="007F421E" w:rsidRDefault="007F421E" w:rsidP="007F421E"/>
    <w:p w14:paraId="5ACE7235" w14:textId="207DC2EF" w:rsidR="007F421E" w:rsidRDefault="007F421E" w:rsidP="007F421E"/>
    <w:p w14:paraId="13AC196D" w14:textId="3F02B7D7" w:rsidR="00D25670" w:rsidRDefault="007F421E" w:rsidP="007F421E">
      <w:pPr>
        <w:jc w:val="center"/>
        <w:rPr>
          <w:b/>
        </w:rPr>
      </w:pPr>
      <w:r>
        <w:rPr>
          <w:b/>
        </w:rPr>
        <w:t>Figure 8</w:t>
      </w:r>
      <w:r w:rsidRPr="00653154">
        <w:rPr>
          <w:b/>
        </w:rPr>
        <w:t xml:space="preserve"> – </w:t>
      </w:r>
      <w:r>
        <w:rPr>
          <w:b/>
        </w:rPr>
        <w:t xml:space="preserve">Potential </w:t>
      </w:r>
      <w:r w:rsidR="00760062">
        <w:rPr>
          <w:b/>
        </w:rPr>
        <w:t>Facility Performance</w:t>
      </w:r>
      <w:r w:rsidRPr="00653154">
        <w:rPr>
          <w:b/>
        </w:rPr>
        <w:t xml:space="preserve"> (</w:t>
      </w:r>
      <w:r w:rsidR="00540A0E">
        <w:rPr>
          <w:b/>
          <w:highlight w:val="yellow"/>
        </w:rPr>
        <w:t>xx</w:t>
      </w:r>
      <w:r w:rsidRPr="00653154">
        <w:rPr>
          <w:b/>
        </w:rPr>
        <w:t xml:space="preserve"> total kW as of </w:t>
      </w:r>
      <w:r w:rsidR="00540A0E" w:rsidRPr="00540A0E">
        <w:rPr>
          <w:b/>
          <w:highlight w:val="yellow"/>
        </w:rPr>
        <w:t>Month/Year</w:t>
      </w:r>
      <w:r w:rsidRPr="00653154">
        <w:rPr>
          <w:b/>
        </w:rPr>
        <w:t>)</w:t>
      </w:r>
    </w:p>
    <w:p w14:paraId="1A356813" w14:textId="77777777" w:rsidR="006B0B10" w:rsidRDefault="006B0B10" w:rsidP="007F421E">
      <w:pPr>
        <w:jc w:val="center"/>
        <w:rPr>
          <w:b/>
        </w:rPr>
      </w:pPr>
    </w:p>
    <w:p w14:paraId="158A1F25" w14:textId="77777777" w:rsidR="006B0B10" w:rsidRPr="009A7B28" w:rsidRDefault="006B0B10" w:rsidP="003B3F31">
      <w:pPr>
        <w:pStyle w:val="Heading1"/>
        <w:rPr>
          <w:highlight w:val="yellow"/>
        </w:rPr>
      </w:pPr>
      <w:r w:rsidRPr="009A7B28">
        <w:rPr>
          <w:highlight w:val="yellow"/>
        </w:rPr>
        <w:t>Appendix A: DC Pro or PUE Estimator Inputs and Outputs</w:t>
      </w:r>
    </w:p>
    <w:p w14:paraId="28CFEC41" w14:textId="77777777" w:rsidR="006B0B10" w:rsidRPr="009A7B28" w:rsidRDefault="006B0B10" w:rsidP="003B3F31">
      <w:pPr>
        <w:pStyle w:val="Heading1"/>
        <w:rPr>
          <w:highlight w:val="yellow"/>
        </w:rPr>
      </w:pPr>
      <w:r w:rsidRPr="009A7B28">
        <w:rPr>
          <w:highlight w:val="yellow"/>
        </w:rPr>
        <w:t>Appendix B: Electrical Single Lines</w:t>
      </w:r>
    </w:p>
    <w:p w14:paraId="75144F84" w14:textId="77777777" w:rsidR="006B0B10" w:rsidRPr="009A7B28" w:rsidRDefault="006B0B10" w:rsidP="003B3F31">
      <w:pPr>
        <w:pStyle w:val="Heading1"/>
        <w:rPr>
          <w:highlight w:val="yellow"/>
        </w:rPr>
      </w:pPr>
      <w:r w:rsidRPr="009A7B28">
        <w:rPr>
          <w:highlight w:val="yellow"/>
        </w:rPr>
        <w:t>Appendix C: Electrical Power Measurements / Readings</w:t>
      </w:r>
    </w:p>
    <w:p w14:paraId="2EE52B62" w14:textId="77777777" w:rsidR="006B0B10" w:rsidRPr="009A7B28" w:rsidRDefault="006B0B10" w:rsidP="003B3F31">
      <w:pPr>
        <w:pStyle w:val="Heading1"/>
        <w:rPr>
          <w:highlight w:val="yellow"/>
        </w:rPr>
      </w:pPr>
      <w:r w:rsidRPr="009A7B28">
        <w:rPr>
          <w:highlight w:val="yellow"/>
        </w:rPr>
        <w:t>Appendix D: Mechanical Flow Diagram / P&amp;IDs</w:t>
      </w:r>
    </w:p>
    <w:p w14:paraId="0ABD46AE" w14:textId="77777777" w:rsidR="009A7B28" w:rsidRPr="009A7B28" w:rsidRDefault="006B0B10" w:rsidP="003B3F31">
      <w:pPr>
        <w:pStyle w:val="Heading1"/>
        <w:rPr>
          <w:highlight w:val="yellow"/>
        </w:rPr>
      </w:pPr>
      <w:r w:rsidRPr="009A7B28">
        <w:rPr>
          <w:highlight w:val="yellow"/>
        </w:rPr>
        <w:t>Appendix E: Mechanical System Measurements / Readings</w:t>
      </w:r>
    </w:p>
    <w:p w14:paraId="1DEE20FE" w14:textId="05FFFC2E" w:rsidR="009A7B28" w:rsidRPr="009A7B28" w:rsidRDefault="009A7B28" w:rsidP="003B3F31">
      <w:pPr>
        <w:pStyle w:val="Heading1"/>
        <w:rPr>
          <w:highlight w:val="yellow"/>
        </w:rPr>
      </w:pPr>
      <w:r w:rsidRPr="009A7B28">
        <w:rPr>
          <w:highlight w:val="yellow"/>
        </w:rPr>
        <w:t>Appendix F: Other Field Data and Calculation Details</w:t>
      </w:r>
    </w:p>
    <w:p w14:paraId="487A1FD7" w14:textId="10245E9D" w:rsidR="009A7B28" w:rsidRDefault="009A7B28" w:rsidP="003B3F31">
      <w:pPr>
        <w:pStyle w:val="Heading1"/>
      </w:pPr>
      <w:r w:rsidRPr="009A7B28">
        <w:rPr>
          <w:highlight w:val="yellow"/>
        </w:rPr>
        <w:t>Appendix G: Assessment instrumentation</w:t>
      </w:r>
    </w:p>
    <w:p w14:paraId="0DE66C82" w14:textId="537474AF" w:rsidR="006B0B10" w:rsidRPr="006B0B10" w:rsidRDefault="006B0B10" w:rsidP="006B0B10">
      <w:pPr>
        <w:rPr>
          <w:sz w:val="22"/>
          <w:szCs w:val="22"/>
        </w:rPr>
      </w:pPr>
      <w:r>
        <w:rPr>
          <w:sz w:val="22"/>
          <w:szCs w:val="22"/>
        </w:rPr>
        <w:t xml:space="preserve">  </w:t>
      </w:r>
    </w:p>
    <w:sectPr w:rsidR="006B0B10" w:rsidRPr="006B0B10" w:rsidSect="004F3591">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9637" w14:textId="77777777" w:rsidR="007222A6" w:rsidRDefault="007222A6" w:rsidP="00853737">
      <w:r>
        <w:separator/>
      </w:r>
    </w:p>
    <w:p w14:paraId="542B2AC2" w14:textId="77777777" w:rsidR="007222A6" w:rsidRDefault="007222A6"/>
    <w:p w14:paraId="0A5485C0" w14:textId="77777777" w:rsidR="007222A6" w:rsidRDefault="007222A6" w:rsidP="00D71008"/>
  </w:endnote>
  <w:endnote w:type="continuationSeparator" w:id="0">
    <w:p w14:paraId="2B62B7CC" w14:textId="77777777" w:rsidR="007222A6" w:rsidRDefault="007222A6" w:rsidP="00853737">
      <w:r>
        <w:continuationSeparator/>
      </w:r>
    </w:p>
    <w:p w14:paraId="6BE24DE4" w14:textId="77777777" w:rsidR="007222A6" w:rsidRDefault="007222A6"/>
    <w:p w14:paraId="118BECA1" w14:textId="77777777" w:rsidR="007222A6" w:rsidRDefault="007222A6" w:rsidP="00D71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EndPr/>
    <w:sdtContent>
      <w:p w14:paraId="782F698B" w14:textId="033EFBEB" w:rsidR="007222A6" w:rsidRPr="00E8024A" w:rsidRDefault="007222A6" w:rsidP="00853737">
        <w:pPr>
          <w:pStyle w:val="Header"/>
          <w:pBdr>
            <w:between w:val="single" w:sz="4" w:space="1" w:color="4F81BD" w:themeColor="accent1"/>
          </w:pBdr>
          <w:spacing w:line="276" w:lineRule="auto"/>
          <w:jc w:val="center"/>
          <w:rPr>
            <w:rFonts w:ascii="Cambria" w:hAnsi="Cambria"/>
          </w:rPr>
        </w:pPr>
        <w:r>
          <w:rPr>
            <w:rFonts w:ascii="Cambria" w:hAnsi="Cambria"/>
          </w:rPr>
          <w:t>Energy Efficiency Assessment</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DF0E924" w14:textId="1F454FE3" w:rsidR="007222A6" w:rsidRPr="00E8024A" w:rsidRDefault="007222A6" w:rsidP="00853737">
        <w:pPr>
          <w:pStyle w:val="Header"/>
          <w:pBdr>
            <w:between w:val="single" w:sz="4" w:space="1" w:color="4F81BD" w:themeColor="accent1"/>
          </w:pBdr>
          <w:spacing w:line="276" w:lineRule="auto"/>
          <w:jc w:val="center"/>
          <w:rPr>
            <w:rFonts w:ascii="Cambria" w:hAnsi="Cambria"/>
          </w:rPr>
        </w:pPr>
        <w:r>
          <w:rPr>
            <w:rFonts w:ascii="Cambria" w:hAnsi="Cambria"/>
          </w:rPr>
          <w:t>Site | Date</w:t>
        </w:r>
      </w:p>
    </w:sdtContent>
  </w:sdt>
  <w:p w14:paraId="5F9783AC" w14:textId="77777777" w:rsidR="007222A6" w:rsidRDefault="007222A6">
    <w:pPr>
      <w:pStyle w:val="Footer"/>
    </w:pPr>
  </w:p>
  <w:p w14:paraId="57FC94CD" w14:textId="77777777" w:rsidR="007222A6" w:rsidRDefault="007222A6"/>
  <w:p w14:paraId="67DFF7F1" w14:textId="77777777" w:rsidR="007222A6" w:rsidRDefault="007222A6" w:rsidP="00D7100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1B7F" w14:textId="77777777" w:rsidR="007222A6" w:rsidRPr="005D2DA6" w:rsidRDefault="007222A6" w:rsidP="00853737">
    <w:pPr>
      <w:pStyle w:val="Footer"/>
      <w:tabs>
        <w:tab w:val="clear" w:pos="4320"/>
      </w:tabs>
      <w:jc w:val="right"/>
      <w:rPr>
        <w:sz w:val="18"/>
        <w:szCs w:val="18"/>
      </w:rPr>
    </w:pPr>
    <w:r>
      <w:rPr>
        <w:sz w:val="18"/>
        <w:szCs w:val="18"/>
      </w:rPr>
      <w:t>Energy Efficiency Assessment</w:t>
    </w:r>
  </w:p>
  <w:p w14:paraId="6C84BA1D" w14:textId="77777777" w:rsidR="007222A6" w:rsidRPr="003F7679" w:rsidRDefault="007222A6" w:rsidP="00853737">
    <w:pPr>
      <w:pStyle w:val="Footer"/>
      <w:tabs>
        <w:tab w:val="clear" w:pos="4320"/>
      </w:tabs>
      <w:jc w:val="both"/>
      <w:rPr>
        <w:sz w:val="18"/>
        <w:szCs w:val="18"/>
        <w:highlight w:val="yellow"/>
      </w:rPr>
    </w:pPr>
    <w:r>
      <w:rPr>
        <w:sz w:val="18"/>
        <w:szCs w:val="18"/>
      </w:rPr>
      <w:tab/>
    </w:r>
    <w:r w:rsidRPr="003F7679">
      <w:rPr>
        <w:sz w:val="18"/>
        <w:szCs w:val="18"/>
        <w:highlight w:val="yellow"/>
      </w:rPr>
      <w:t>Site</w:t>
    </w:r>
  </w:p>
  <w:p w14:paraId="3AE4E8B7" w14:textId="2DFE5ADA" w:rsidR="007222A6" w:rsidRPr="005D2DA6" w:rsidRDefault="007222A6" w:rsidP="00853737">
    <w:pPr>
      <w:pStyle w:val="Footer"/>
      <w:tabs>
        <w:tab w:val="clear" w:pos="4320"/>
      </w:tabs>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154EC6">
      <w:rPr>
        <w:rStyle w:val="PageNumber"/>
        <w:noProof/>
      </w:rPr>
      <w:t>1</w:t>
    </w:r>
    <w:r>
      <w:rPr>
        <w:rStyle w:val="PageNumber"/>
      </w:rPr>
      <w:fldChar w:fldCharType="end"/>
    </w:r>
    <w:r w:rsidRPr="003F7679">
      <w:rPr>
        <w:sz w:val="18"/>
        <w:szCs w:val="18"/>
      </w:rPr>
      <w:tab/>
    </w:r>
    <w:r w:rsidRPr="003F7679">
      <w:rPr>
        <w:sz w:val="18"/>
        <w:szCs w:val="18"/>
        <w:highlight w:val="yellow"/>
      </w:rPr>
      <w:t>Date</w:t>
    </w:r>
  </w:p>
  <w:p w14:paraId="5B4BF44A" w14:textId="77777777" w:rsidR="007222A6" w:rsidRDefault="007222A6">
    <w:pPr>
      <w:pStyle w:val="Footer"/>
    </w:pPr>
  </w:p>
  <w:p w14:paraId="3A756EF9" w14:textId="77777777" w:rsidR="007222A6" w:rsidRDefault="007222A6"/>
  <w:p w14:paraId="7A27DE5C" w14:textId="77777777" w:rsidR="007222A6" w:rsidRDefault="007222A6" w:rsidP="00D710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5CD9E" w14:textId="77777777" w:rsidR="007222A6" w:rsidRDefault="007222A6" w:rsidP="00853737">
      <w:r>
        <w:separator/>
      </w:r>
    </w:p>
    <w:p w14:paraId="1713B26B" w14:textId="77777777" w:rsidR="007222A6" w:rsidRDefault="007222A6"/>
    <w:p w14:paraId="2086D91B" w14:textId="77777777" w:rsidR="007222A6" w:rsidRDefault="007222A6" w:rsidP="00D71008"/>
  </w:footnote>
  <w:footnote w:type="continuationSeparator" w:id="0">
    <w:p w14:paraId="7C37584B" w14:textId="77777777" w:rsidR="007222A6" w:rsidRDefault="007222A6" w:rsidP="00853737">
      <w:r>
        <w:continuationSeparator/>
      </w:r>
    </w:p>
    <w:p w14:paraId="42927D34" w14:textId="77777777" w:rsidR="007222A6" w:rsidRDefault="007222A6"/>
    <w:p w14:paraId="4098F20E" w14:textId="77777777" w:rsidR="007222A6" w:rsidRDefault="007222A6" w:rsidP="00D710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3A56"/>
    <w:multiLevelType w:val="hybridMultilevel"/>
    <w:tmpl w:val="8C2037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93"/>
    <w:rsid w:val="000371F2"/>
    <w:rsid w:val="0004416E"/>
    <w:rsid w:val="00045C86"/>
    <w:rsid w:val="00066768"/>
    <w:rsid w:val="00085811"/>
    <w:rsid w:val="000B7332"/>
    <w:rsid w:val="000C14FF"/>
    <w:rsid w:val="000D317E"/>
    <w:rsid w:val="000D3AB3"/>
    <w:rsid w:val="000E32EE"/>
    <w:rsid w:val="000E38FA"/>
    <w:rsid w:val="00114466"/>
    <w:rsid w:val="00116456"/>
    <w:rsid w:val="0013297D"/>
    <w:rsid w:val="00140A28"/>
    <w:rsid w:val="00150C14"/>
    <w:rsid w:val="00154EC6"/>
    <w:rsid w:val="00175610"/>
    <w:rsid w:val="001825D6"/>
    <w:rsid w:val="00196A04"/>
    <w:rsid w:val="001A022F"/>
    <w:rsid w:val="001A1A3B"/>
    <w:rsid w:val="001B52F1"/>
    <w:rsid w:val="001E0532"/>
    <w:rsid w:val="001E7DCF"/>
    <w:rsid w:val="00213F2D"/>
    <w:rsid w:val="00216B32"/>
    <w:rsid w:val="00263F5E"/>
    <w:rsid w:val="002707B4"/>
    <w:rsid w:val="00283D1C"/>
    <w:rsid w:val="002B06F8"/>
    <w:rsid w:val="002E3A93"/>
    <w:rsid w:val="002E4E0E"/>
    <w:rsid w:val="00336F03"/>
    <w:rsid w:val="00347928"/>
    <w:rsid w:val="003614CE"/>
    <w:rsid w:val="00362795"/>
    <w:rsid w:val="00391A4D"/>
    <w:rsid w:val="003A1C8E"/>
    <w:rsid w:val="003B3F31"/>
    <w:rsid w:val="003E0ADD"/>
    <w:rsid w:val="003F189C"/>
    <w:rsid w:val="004055E6"/>
    <w:rsid w:val="00434A7A"/>
    <w:rsid w:val="00457010"/>
    <w:rsid w:val="00460E33"/>
    <w:rsid w:val="00481A13"/>
    <w:rsid w:val="0048225F"/>
    <w:rsid w:val="00492E99"/>
    <w:rsid w:val="004D142D"/>
    <w:rsid w:val="004D28F3"/>
    <w:rsid w:val="004D551B"/>
    <w:rsid w:val="004E29A3"/>
    <w:rsid w:val="004F3591"/>
    <w:rsid w:val="00502A23"/>
    <w:rsid w:val="00540A0E"/>
    <w:rsid w:val="00545069"/>
    <w:rsid w:val="0055192E"/>
    <w:rsid w:val="00560B35"/>
    <w:rsid w:val="00571313"/>
    <w:rsid w:val="00571635"/>
    <w:rsid w:val="005800FB"/>
    <w:rsid w:val="00580A67"/>
    <w:rsid w:val="00582CA9"/>
    <w:rsid w:val="00591FBF"/>
    <w:rsid w:val="005950F9"/>
    <w:rsid w:val="005A4C46"/>
    <w:rsid w:val="005E08E9"/>
    <w:rsid w:val="005E664E"/>
    <w:rsid w:val="00602050"/>
    <w:rsid w:val="00615F30"/>
    <w:rsid w:val="00627BD4"/>
    <w:rsid w:val="00650B57"/>
    <w:rsid w:val="00653154"/>
    <w:rsid w:val="006534BC"/>
    <w:rsid w:val="0065472F"/>
    <w:rsid w:val="006666A6"/>
    <w:rsid w:val="006721C2"/>
    <w:rsid w:val="00672707"/>
    <w:rsid w:val="00694656"/>
    <w:rsid w:val="006956FE"/>
    <w:rsid w:val="006A5134"/>
    <w:rsid w:val="006B0B10"/>
    <w:rsid w:val="006B1DB6"/>
    <w:rsid w:val="006B3956"/>
    <w:rsid w:val="006B4E23"/>
    <w:rsid w:val="006B63D4"/>
    <w:rsid w:val="006F689F"/>
    <w:rsid w:val="007063C2"/>
    <w:rsid w:val="007222A6"/>
    <w:rsid w:val="00753524"/>
    <w:rsid w:val="0075375C"/>
    <w:rsid w:val="00760062"/>
    <w:rsid w:val="0076452F"/>
    <w:rsid w:val="0077200D"/>
    <w:rsid w:val="00786D4A"/>
    <w:rsid w:val="00795A1D"/>
    <w:rsid w:val="007A67DF"/>
    <w:rsid w:val="007A6CEB"/>
    <w:rsid w:val="007D1BA5"/>
    <w:rsid w:val="007E3F96"/>
    <w:rsid w:val="007E5A40"/>
    <w:rsid w:val="007F421E"/>
    <w:rsid w:val="008072DF"/>
    <w:rsid w:val="00812367"/>
    <w:rsid w:val="0081539B"/>
    <w:rsid w:val="00845252"/>
    <w:rsid w:val="00853737"/>
    <w:rsid w:val="00860CFF"/>
    <w:rsid w:val="008B66A8"/>
    <w:rsid w:val="008E20FD"/>
    <w:rsid w:val="008E3756"/>
    <w:rsid w:val="00942B77"/>
    <w:rsid w:val="009546F8"/>
    <w:rsid w:val="00967FFD"/>
    <w:rsid w:val="009A4C1B"/>
    <w:rsid w:val="009A7B28"/>
    <w:rsid w:val="009C0EB9"/>
    <w:rsid w:val="009E3872"/>
    <w:rsid w:val="009F723A"/>
    <w:rsid w:val="00A56999"/>
    <w:rsid w:val="00A621BD"/>
    <w:rsid w:val="00A62FDD"/>
    <w:rsid w:val="00A91802"/>
    <w:rsid w:val="00A947F7"/>
    <w:rsid w:val="00AC77F4"/>
    <w:rsid w:val="00B215CA"/>
    <w:rsid w:val="00B21FFB"/>
    <w:rsid w:val="00B23C9A"/>
    <w:rsid w:val="00B6311D"/>
    <w:rsid w:val="00B92774"/>
    <w:rsid w:val="00BA0774"/>
    <w:rsid w:val="00BC5DCC"/>
    <w:rsid w:val="00BE0016"/>
    <w:rsid w:val="00C22114"/>
    <w:rsid w:val="00C25755"/>
    <w:rsid w:val="00C31A4D"/>
    <w:rsid w:val="00C326DA"/>
    <w:rsid w:val="00C513BA"/>
    <w:rsid w:val="00C70EEF"/>
    <w:rsid w:val="00C82BDD"/>
    <w:rsid w:val="00C8639A"/>
    <w:rsid w:val="00C94597"/>
    <w:rsid w:val="00CA6BD6"/>
    <w:rsid w:val="00CD0AF5"/>
    <w:rsid w:val="00D1542F"/>
    <w:rsid w:val="00D25670"/>
    <w:rsid w:val="00D25E0E"/>
    <w:rsid w:val="00D326E8"/>
    <w:rsid w:val="00D35F88"/>
    <w:rsid w:val="00D52075"/>
    <w:rsid w:val="00D71008"/>
    <w:rsid w:val="00D875A3"/>
    <w:rsid w:val="00D923D8"/>
    <w:rsid w:val="00D93476"/>
    <w:rsid w:val="00D9651A"/>
    <w:rsid w:val="00DA5130"/>
    <w:rsid w:val="00DB50CC"/>
    <w:rsid w:val="00DB7FBC"/>
    <w:rsid w:val="00DC3ED3"/>
    <w:rsid w:val="00DE2628"/>
    <w:rsid w:val="00DE6A0D"/>
    <w:rsid w:val="00DE7E11"/>
    <w:rsid w:val="00E00F6C"/>
    <w:rsid w:val="00E43873"/>
    <w:rsid w:val="00E45A29"/>
    <w:rsid w:val="00E62443"/>
    <w:rsid w:val="00EF7693"/>
    <w:rsid w:val="00F17F5B"/>
    <w:rsid w:val="00F22900"/>
    <w:rsid w:val="00F23AE2"/>
    <w:rsid w:val="00F333B5"/>
    <w:rsid w:val="00F43170"/>
    <w:rsid w:val="00F654B5"/>
    <w:rsid w:val="00F82593"/>
    <w:rsid w:val="00FA7BED"/>
    <w:rsid w:val="00FB4ADE"/>
    <w:rsid w:val="00FC34BF"/>
    <w:rsid w:val="00FC3C2A"/>
    <w:rsid w:val="00FE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48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93"/>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C14FF"/>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85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4FF"/>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qFormat/>
    <w:rsid w:val="009A4C1B"/>
    <w:pPr>
      <w:keepNext/>
      <w:keepLines/>
      <w:spacing w:before="200"/>
      <w:outlineLvl w:val="3"/>
    </w:pPr>
    <w:rPr>
      <w:rFonts w:eastAsiaTheme="maj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After">
    <w:name w:val="Space After"/>
    <w:basedOn w:val="Normal"/>
    <w:link w:val="SpaceAfterChar"/>
    <w:rsid w:val="00F82593"/>
    <w:pPr>
      <w:spacing w:after="120"/>
      <w:ind w:left="720"/>
    </w:pPr>
    <w:rPr>
      <w:sz w:val="22"/>
    </w:rPr>
  </w:style>
  <w:style w:type="character" w:customStyle="1" w:styleId="SpaceAfterChar">
    <w:name w:val="Space After Char"/>
    <w:basedOn w:val="DefaultParagraphFont"/>
    <w:link w:val="SpaceAfter"/>
    <w:rsid w:val="00F82593"/>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0C14FF"/>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F8259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82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93"/>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F82593"/>
    <w:pPr>
      <w:spacing w:before="120"/>
    </w:pPr>
    <w:rPr>
      <w:rFonts w:asciiTheme="minorHAnsi" w:hAnsiTheme="minorHAnsi"/>
      <w:b/>
      <w:szCs w:val="24"/>
    </w:rPr>
  </w:style>
  <w:style w:type="paragraph" w:styleId="TOC2">
    <w:name w:val="toc 2"/>
    <w:basedOn w:val="Normal"/>
    <w:next w:val="Normal"/>
    <w:autoRedefine/>
    <w:uiPriority w:val="39"/>
    <w:unhideWhenUsed/>
    <w:rsid w:val="00F82593"/>
    <w:pPr>
      <w:ind w:left="240"/>
    </w:pPr>
    <w:rPr>
      <w:rFonts w:asciiTheme="minorHAnsi" w:hAnsiTheme="minorHAnsi"/>
      <w:b/>
      <w:sz w:val="22"/>
      <w:szCs w:val="22"/>
    </w:rPr>
  </w:style>
  <w:style w:type="paragraph" w:styleId="TOC3">
    <w:name w:val="toc 3"/>
    <w:basedOn w:val="Normal"/>
    <w:next w:val="Normal"/>
    <w:autoRedefine/>
    <w:uiPriority w:val="39"/>
    <w:unhideWhenUsed/>
    <w:rsid w:val="00F82593"/>
    <w:pPr>
      <w:ind w:left="480"/>
    </w:pPr>
    <w:rPr>
      <w:rFonts w:asciiTheme="minorHAnsi" w:hAnsiTheme="minorHAnsi"/>
      <w:sz w:val="22"/>
      <w:szCs w:val="22"/>
    </w:rPr>
  </w:style>
  <w:style w:type="paragraph" w:styleId="TOC4">
    <w:name w:val="toc 4"/>
    <w:basedOn w:val="Normal"/>
    <w:next w:val="Normal"/>
    <w:autoRedefine/>
    <w:uiPriority w:val="39"/>
    <w:unhideWhenUsed/>
    <w:rsid w:val="00F82593"/>
    <w:pPr>
      <w:ind w:left="720"/>
    </w:pPr>
    <w:rPr>
      <w:rFonts w:asciiTheme="minorHAnsi" w:hAnsiTheme="minorHAnsi"/>
      <w:sz w:val="20"/>
    </w:rPr>
  </w:style>
  <w:style w:type="paragraph" w:styleId="TOC5">
    <w:name w:val="toc 5"/>
    <w:basedOn w:val="Normal"/>
    <w:next w:val="Normal"/>
    <w:autoRedefine/>
    <w:uiPriority w:val="39"/>
    <w:unhideWhenUsed/>
    <w:rsid w:val="00F82593"/>
    <w:pPr>
      <w:ind w:left="960"/>
    </w:pPr>
    <w:rPr>
      <w:rFonts w:asciiTheme="minorHAnsi" w:hAnsiTheme="minorHAnsi"/>
      <w:sz w:val="20"/>
    </w:rPr>
  </w:style>
  <w:style w:type="paragraph" w:styleId="TOC6">
    <w:name w:val="toc 6"/>
    <w:basedOn w:val="Normal"/>
    <w:next w:val="Normal"/>
    <w:autoRedefine/>
    <w:uiPriority w:val="39"/>
    <w:unhideWhenUsed/>
    <w:rsid w:val="00F82593"/>
    <w:pPr>
      <w:ind w:left="1200"/>
    </w:pPr>
    <w:rPr>
      <w:rFonts w:asciiTheme="minorHAnsi" w:hAnsiTheme="minorHAnsi"/>
      <w:sz w:val="20"/>
    </w:rPr>
  </w:style>
  <w:style w:type="paragraph" w:styleId="TOC7">
    <w:name w:val="toc 7"/>
    <w:basedOn w:val="Normal"/>
    <w:next w:val="Normal"/>
    <w:autoRedefine/>
    <w:uiPriority w:val="39"/>
    <w:unhideWhenUsed/>
    <w:rsid w:val="00F82593"/>
    <w:pPr>
      <w:ind w:left="1440"/>
    </w:pPr>
    <w:rPr>
      <w:rFonts w:asciiTheme="minorHAnsi" w:hAnsiTheme="minorHAnsi"/>
      <w:sz w:val="20"/>
    </w:rPr>
  </w:style>
  <w:style w:type="paragraph" w:styleId="TOC8">
    <w:name w:val="toc 8"/>
    <w:basedOn w:val="Normal"/>
    <w:next w:val="Normal"/>
    <w:autoRedefine/>
    <w:uiPriority w:val="39"/>
    <w:unhideWhenUsed/>
    <w:rsid w:val="00F82593"/>
    <w:pPr>
      <w:ind w:left="1680"/>
    </w:pPr>
    <w:rPr>
      <w:rFonts w:asciiTheme="minorHAnsi" w:hAnsiTheme="minorHAnsi"/>
      <w:sz w:val="20"/>
    </w:rPr>
  </w:style>
  <w:style w:type="paragraph" w:styleId="TOC9">
    <w:name w:val="toc 9"/>
    <w:basedOn w:val="Normal"/>
    <w:next w:val="Normal"/>
    <w:autoRedefine/>
    <w:uiPriority w:val="39"/>
    <w:unhideWhenUsed/>
    <w:rsid w:val="00F82593"/>
    <w:pPr>
      <w:ind w:left="1920"/>
    </w:pPr>
    <w:rPr>
      <w:rFonts w:asciiTheme="minorHAnsi" w:hAnsiTheme="minorHAnsi"/>
      <w:sz w:val="20"/>
    </w:rPr>
  </w:style>
  <w:style w:type="paragraph" w:customStyle="1" w:styleId="TableCaption">
    <w:name w:val="Table Caption"/>
    <w:basedOn w:val="Normal"/>
    <w:rsid w:val="00F82593"/>
    <w:pPr>
      <w:spacing w:after="120"/>
      <w:ind w:left="720"/>
      <w:jc w:val="center"/>
    </w:pPr>
    <w:rPr>
      <w:rFonts w:ascii="Arial" w:hAnsi="Arial" w:cs="Arial"/>
      <w:b/>
      <w:sz w:val="20"/>
    </w:rPr>
  </w:style>
  <w:style w:type="paragraph" w:customStyle="1" w:styleId="FigureTable">
    <w:name w:val="Figure_Table"/>
    <w:basedOn w:val="Normal"/>
    <w:link w:val="FigureTableChar"/>
    <w:rsid w:val="00F82593"/>
    <w:pPr>
      <w:keepNext/>
      <w:ind w:left="720"/>
      <w:jc w:val="center"/>
    </w:pPr>
  </w:style>
  <w:style w:type="character" w:customStyle="1" w:styleId="FigureTableChar">
    <w:name w:val="Figure_Table Char"/>
    <w:basedOn w:val="DefaultParagraphFont"/>
    <w:link w:val="FigureTable"/>
    <w:rsid w:val="00F8259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85373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53737"/>
    <w:pPr>
      <w:tabs>
        <w:tab w:val="center" w:pos="4320"/>
        <w:tab w:val="right" w:pos="8640"/>
      </w:tabs>
    </w:pPr>
  </w:style>
  <w:style w:type="character" w:customStyle="1" w:styleId="HeaderChar">
    <w:name w:val="Header Char"/>
    <w:basedOn w:val="DefaultParagraphFont"/>
    <w:link w:val="Header"/>
    <w:uiPriority w:val="99"/>
    <w:rsid w:val="00853737"/>
    <w:rPr>
      <w:rFonts w:ascii="Times New Roman" w:eastAsia="Times New Roman" w:hAnsi="Times New Roman" w:cs="Times New Roman"/>
      <w:szCs w:val="20"/>
    </w:rPr>
  </w:style>
  <w:style w:type="paragraph" w:styleId="Footer">
    <w:name w:val="footer"/>
    <w:basedOn w:val="Normal"/>
    <w:link w:val="FooterChar"/>
    <w:unhideWhenUsed/>
    <w:rsid w:val="00853737"/>
    <w:pPr>
      <w:tabs>
        <w:tab w:val="center" w:pos="4320"/>
        <w:tab w:val="right" w:pos="8640"/>
      </w:tabs>
    </w:pPr>
  </w:style>
  <w:style w:type="character" w:customStyle="1" w:styleId="FooterChar">
    <w:name w:val="Footer Char"/>
    <w:basedOn w:val="DefaultParagraphFont"/>
    <w:link w:val="Footer"/>
    <w:uiPriority w:val="99"/>
    <w:rsid w:val="0085373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53737"/>
  </w:style>
  <w:style w:type="character" w:customStyle="1" w:styleId="Heading3Char">
    <w:name w:val="Heading 3 Char"/>
    <w:basedOn w:val="DefaultParagraphFont"/>
    <w:link w:val="Heading3"/>
    <w:uiPriority w:val="9"/>
    <w:rsid w:val="000C14FF"/>
    <w:rPr>
      <w:rFonts w:ascii="Times New Roman" w:eastAsiaTheme="majorEastAsia" w:hAnsi="Times New Roman" w:cs="Times New Roman"/>
      <w:b/>
      <w:bCs/>
      <w:szCs w:val="20"/>
    </w:rPr>
  </w:style>
  <w:style w:type="character" w:styleId="CommentReference">
    <w:name w:val="annotation reference"/>
    <w:basedOn w:val="DefaultParagraphFont"/>
    <w:uiPriority w:val="99"/>
    <w:semiHidden/>
    <w:unhideWhenUsed/>
    <w:rsid w:val="00812367"/>
    <w:rPr>
      <w:sz w:val="18"/>
      <w:szCs w:val="18"/>
    </w:rPr>
  </w:style>
  <w:style w:type="paragraph" w:styleId="CommentText">
    <w:name w:val="annotation text"/>
    <w:basedOn w:val="Normal"/>
    <w:link w:val="CommentTextChar"/>
    <w:uiPriority w:val="99"/>
    <w:semiHidden/>
    <w:unhideWhenUsed/>
    <w:rsid w:val="00812367"/>
    <w:rPr>
      <w:szCs w:val="24"/>
    </w:rPr>
  </w:style>
  <w:style w:type="character" w:customStyle="1" w:styleId="CommentTextChar">
    <w:name w:val="Comment Text Char"/>
    <w:basedOn w:val="DefaultParagraphFont"/>
    <w:link w:val="CommentText"/>
    <w:uiPriority w:val="99"/>
    <w:semiHidden/>
    <w:rsid w:val="008123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2367"/>
    <w:rPr>
      <w:b/>
      <w:bCs/>
      <w:sz w:val="20"/>
      <w:szCs w:val="20"/>
    </w:rPr>
  </w:style>
  <w:style w:type="character" w:customStyle="1" w:styleId="CommentSubjectChar">
    <w:name w:val="Comment Subject Char"/>
    <w:basedOn w:val="CommentTextChar"/>
    <w:link w:val="CommentSubject"/>
    <w:uiPriority w:val="99"/>
    <w:semiHidden/>
    <w:rsid w:val="00812367"/>
    <w:rPr>
      <w:rFonts w:ascii="Times New Roman" w:eastAsia="Times New Roman" w:hAnsi="Times New Roman" w:cs="Times New Roman"/>
      <w:b/>
      <w:bCs/>
      <w:sz w:val="20"/>
      <w:szCs w:val="20"/>
    </w:rPr>
  </w:style>
  <w:style w:type="table" w:styleId="TableGrid">
    <w:name w:val="Table Grid"/>
    <w:basedOn w:val="TableNormal"/>
    <w:uiPriority w:val="59"/>
    <w:rsid w:val="00B2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3D8"/>
    <w:pPr>
      <w:widowControl w:val="0"/>
      <w:autoSpaceDE w:val="0"/>
      <w:autoSpaceDN w:val="0"/>
      <w:adjustRightInd w:val="0"/>
    </w:pPr>
    <w:rPr>
      <w:rFonts w:ascii="Cambria" w:hAnsi="Cambria" w:cs="Cambria"/>
      <w:color w:val="000000"/>
    </w:rPr>
  </w:style>
  <w:style w:type="character" w:customStyle="1" w:styleId="Heading4Char">
    <w:name w:val="Heading 4 Char"/>
    <w:basedOn w:val="DefaultParagraphFont"/>
    <w:link w:val="Heading4"/>
    <w:uiPriority w:val="9"/>
    <w:rsid w:val="009A4C1B"/>
    <w:rPr>
      <w:rFonts w:ascii="Times New Roman" w:eastAsiaTheme="majorEastAsia" w:hAnsi="Times New Roman" w:cs="Times New Roman"/>
      <w:b/>
      <w:bCs/>
      <w:i/>
      <w:iCs/>
      <w:szCs w:val="20"/>
    </w:rPr>
  </w:style>
  <w:style w:type="paragraph" w:styleId="ListParagraph">
    <w:name w:val="List Paragraph"/>
    <w:basedOn w:val="Normal"/>
    <w:uiPriority w:val="34"/>
    <w:qFormat/>
    <w:rsid w:val="000D317E"/>
    <w:pPr>
      <w:ind w:left="720"/>
      <w:contextualSpacing/>
    </w:pPr>
  </w:style>
  <w:style w:type="character" w:styleId="Hyperlink">
    <w:name w:val="Hyperlink"/>
    <w:basedOn w:val="DefaultParagraphFont"/>
    <w:uiPriority w:val="99"/>
    <w:unhideWhenUsed/>
    <w:rsid w:val="000D317E"/>
    <w:rPr>
      <w:color w:val="0000FF" w:themeColor="hyperlink"/>
      <w:u w:val="single"/>
    </w:rPr>
  </w:style>
  <w:style w:type="character" w:styleId="FollowedHyperlink">
    <w:name w:val="FollowedHyperlink"/>
    <w:basedOn w:val="DefaultParagraphFont"/>
    <w:uiPriority w:val="99"/>
    <w:semiHidden/>
    <w:unhideWhenUsed/>
    <w:rsid w:val="00B927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93"/>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C14FF"/>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85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4FF"/>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qFormat/>
    <w:rsid w:val="009A4C1B"/>
    <w:pPr>
      <w:keepNext/>
      <w:keepLines/>
      <w:spacing w:before="200"/>
      <w:outlineLvl w:val="3"/>
    </w:pPr>
    <w:rPr>
      <w:rFonts w:eastAsiaTheme="maj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After">
    <w:name w:val="Space After"/>
    <w:basedOn w:val="Normal"/>
    <w:link w:val="SpaceAfterChar"/>
    <w:rsid w:val="00F82593"/>
    <w:pPr>
      <w:spacing w:after="120"/>
      <w:ind w:left="720"/>
    </w:pPr>
    <w:rPr>
      <w:sz w:val="22"/>
    </w:rPr>
  </w:style>
  <w:style w:type="character" w:customStyle="1" w:styleId="SpaceAfterChar">
    <w:name w:val="Space After Char"/>
    <w:basedOn w:val="DefaultParagraphFont"/>
    <w:link w:val="SpaceAfter"/>
    <w:rsid w:val="00F82593"/>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0C14FF"/>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F8259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82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93"/>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F82593"/>
    <w:pPr>
      <w:spacing w:before="120"/>
    </w:pPr>
    <w:rPr>
      <w:rFonts w:asciiTheme="minorHAnsi" w:hAnsiTheme="minorHAnsi"/>
      <w:b/>
      <w:szCs w:val="24"/>
    </w:rPr>
  </w:style>
  <w:style w:type="paragraph" w:styleId="TOC2">
    <w:name w:val="toc 2"/>
    <w:basedOn w:val="Normal"/>
    <w:next w:val="Normal"/>
    <w:autoRedefine/>
    <w:uiPriority w:val="39"/>
    <w:unhideWhenUsed/>
    <w:rsid w:val="00F82593"/>
    <w:pPr>
      <w:ind w:left="240"/>
    </w:pPr>
    <w:rPr>
      <w:rFonts w:asciiTheme="minorHAnsi" w:hAnsiTheme="minorHAnsi"/>
      <w:b/>
      <w:sz w:val="22"/>
      <w:szCs w:val="22"/>
    </w:rPr>
  </w:style>
  <w:style w:type="paragraph" w:styleId="TOC3">
    <w:name w:val="toc 3"/>
    <w:basedOn w:val="Normal"/>
    <w:next w:val="Normal"/>
    <w:autoRedefine/>
    <w:uiPriority w:val="39"/>
    <w:unhideWhenUsed/>
    <w:rsid w:val="00F82593"/>
    <w:pPr>
      <w:ind w:left="480"/>
    </w:pPr>
    <w:rPr>
      <w:rFonts w:asciiTheme="minorHAnsi" w:hAnsiTheme="minorHAnsi"/>
      <w:sz w:val="22"/>
      <w:szCs w:val="22"/>
    </w:rPr>
  </w:style>
  <w:style w:type="paragraph" w:styleId="TOC4">
    <w:name w:val="toc 4"/>
    <w:basedOn w:val="Normal"/>
    <w:next w:val="Normal"/>
    <w:autoRedefine/>
    <w:uiPriority w:val="39"/>
    <w:unhideWhenUsed/>
    <w:rsid w:val="00F82593"/>
    <w:pPr>
      <w:ind w:left="720"/>
    </w:pPr>
    <w:rPr>
      <w:rFonts w:asciiTheme="minorHAnsi" w:hAnsiTheme="minorHAnsi"/>
      <w:sz w:val="20"/>
    </w:rPr>
  </w:style>
  <w:style w:type="paragraph" w:styleId="TOC5">
    <w:name w:val="toc 5"/>
    <w:basedOn w:val="Normal"/>
    <w:next w:val="Normal"/>
    <w:autoRedefine/>
    <w:uiPriority w:val="39"/>
    <w:unhideWhenUsed/>
    <w:rsid w:val="00F82593"/>
    <w:pPr>
      <w:ind w:left="960"/>
    </w:pPr>
    <w:rPr>
      <w:rFonts w:asciiTheme="minorHAnsi" w:hAnsiTheme="minorHAnsi"/>
      <w:sz w:val="20"/>
    </w:rPr>
  </w:style>
  <w:style w:type="paragraph" w:styleId="TOC6">
    <w:name w:val="toc 6"/>
    <w:basedOn w:val="Normal"/>
    <w:next w:val="Normal"/>
    <w:autoRedefine/>
    <w:uiPriority w:val="39"/>
    <w:unhideWhenUsed/>
    <w:rsid w:val="00F82593"/>
    <w:pPr>
      <w:ind w:left="1200"/>
    </w:pPr>
    <w:rPr>
      <w:rFonts w:asciiTheme="minorHAnsi" w:hAnsiTheme="minorHAnsi"/>
      <w:sz w:val="20"/>
    </w:rPr>
  </w:style>
  <w:style w:type="paragraph" w:styleId="TOC7">
    <w:name w:val="toc 7"/>
    <w:basedOn w:val="Normal"/>
    <w:next w:val="Normal"/>
    <w:autoRedefine/>
    <w:uiPriority w:val="39"/>
    <w:unhideWhenUsed/>
    <w:rsid w:val="00F82593"/>
    <w:pPr>
      <w:ind w:left="1440"/>
    </w:pPr>
    <w:rPr>
      <w:rFonts w:asciiTheme="minorHAnsi" w:hAnsiTheme="minorHAnsi"/>
      <w:sz w:val="20"/>
    </w:rPr>
  </w:style>
  <w:style w:type="paragraph" w:styleId="TOC8">
    <w:name w:val="toc 8"/>
    <w:basedOn w:val="Normal"/>
    <w:next w:val="Normal"/>
    <w:autoRedefine/>
    <w:uiPriority w:val="39"/>
    <w:unhideWhenUsed/>
    <w:rsid w:val="00F82593"/>
    <w:pPr>
      <w:ind w:left="1680"/>
    </w:pPr>
    <w:rPr>
      <w:rFonts w:asciiTheme="minorHAnsi" w:hAnsiTheme="minorHAnsi"/>
      <w:sz w:val="20"/>
    </w:rPr>
  </w:style>
  <w:style w:type="paragraph" w:styleId="TOC9">
    <w:name w:val="toc 9"/>
    <w:basedOn w:val="Normal"/>
    <w:next w:val="Normal"/>
    <w:autoRedefine/>
    <w:uiPriority w:val="39"/>
    <w:unhideWhenUsed/>
    <w:rsid w:val="00F82593"/>
    <w:pPr>
      <w:ind w:left="1920"/>
    </w:pPr>
    <w:rPr>
      <w:rFonts w:asciiTheme="minorHAnsi" w:hAnsiTheme="minorHAnsi"/>
      <w:sz w:val="20"/>
    </w:rPr>
  </w:style>
  <w:style w:type="paragraph" w:customStyle="1" w:styleId="TableCaption">
    <w:name w:val="Table Caption"/>
    <w:basedOn w:val="Normal"/>
    <w:rsid w:val="00F82593"/>
    <w:pPr>
      <w:spacing w:after="120"/>
      <w:ind w:left="720"/>
      <w:jc w:val="center"/>
    </w:pPr>
    <w:rPr>
      <w:rFonts w:ascii="Arial" w:hAnsi="Arial" w:cs="Arial"/>
      <w:b/>
      <w:sz w:val="20"/>
    </w:rPr>
  </w:style>
  <w:style w:type="paragraph" w:customStyle="1" w:styleId="FigureTable">
    <w:name w:val="Figure_Table"/>
    <w:basedOn w:val="Normal"/>
    <w:link w:val="FigureTableChar"/>
    <w:rsid w:val="00F82593"/>
    <w:pPr>
      <w:keepNext/>
      <w:ind w:left="720"/>
      <w:jc w:val="center"/>
    </w:pPr>
  </w:style>
  <w:style w:type="character" w:customStyle="1" w:styleId="FigureTableChar">
    <w:name w:val="Figure_Table Char"/>
    <w:basedOn w:val="DefaultParagraphFont"/>
    <w:link w:val="FigureTable"/>
    <w:rsid w:val="00F8259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85373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53737"/>
    <w:pPr>
      <w:tabs>
        <w:tab w:val="center" w:pos="4320"/>
        <w:tab w:val="right" w:pos="8640"/>
      </w:tabs>
    </w:pPr>
  </w:style>
  <w:style w:type="character" w:customStyle="1" w:styleId="HeaderChar">
    <w:name w:val="Header Char"/>
    <w:basedOn w:val="DefaultParagraphFont"/>
    <w:link w:val="Header"/>
    <w:uiPriority w:val="99"/>
    <w:rsid w:val="00853737"/>
    <w:rPr>
      <w:rFonts w:ascii="Times New Roman" w:eastAsia="Times New Roman" w:hAnsi="Times New Roman" w:cs="Times New Roman"/>
      <w:szCs w:val="20"/>
    </w:rPr>
  </w:style>
  <w:style w:type="paragraph" w:styleId="Footer">
    <w:name w:val="footer"/>
    <w:basedOn w:val="Normal"/>
    <w:link w:val="FooterChar"/>
    <w:unhideWhenUsed/>
    <w:rsid w:val="00853737"/>
    <w:pPr>
      <w:tabs>
        <w:tab w:val="center" w:pos="4320"/>
        <w:tab w:val="right" w:pos="8640"/>
      </w:tabs>
    </w:pPr>
  </w:style>
  <w:style w:type="character" w:customStyle="1" w:styleId="FooterChar">
    <w:name w:val="Footer Char"/>
    <w:basedOn w:val="DefaultParagraphFont"/>
    <w:link w:val="Footer"/>
    <w:uiPriority w:val="99"/>
    <w:rsid w:val="0085373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53737"/>
  </w:style>
  <w:style w:type="character" w:customStyle="1" w:styleId="Heading3Char">
    <w:name w:val="Heading 3 Char"/>
    <w:basedOn w:val="DefaultParagraphFont"/>
    <w:link w:val="Heading3"/>
    <w:uiPriority w:val="9"/>
    <w:rsid w:val="000C14FF"/>
    <w:rPr>
      <w:rFonts w:ascii="Times New Roman" w:eastAsiaTheme="majorEastAsia" w:hAnsi="Times New Roman" w:cs="Times New Roman"/>
      <w:b/>
      <w:bCs/>
      <w:szCs w:val="20"/>
    </w:rPr>
  </w:style>
  <w:style w:type="character" w:styleId="CommentReference">
    <w:name w:val="annotation reference"/>
    <w:basedOn w:val="DefaultParagraphFont"/>
    <w:uiPriority w:val="99"/>
    <w:semiHidden/>
    <w:unhideWhenUsed/>
    <w:rsid w:val="00812367"/>
    <w:rPr>
      <w:sz w:val="18"/>
      <w:szCs w:val="18"/>
    </w:rPr>
  </w:style>
  <w:style w:type="paragraph" w:styleId="CommentText">
    <w:name w:val="annotation text"/>
    <w:basedOn w:val="Normal"/>
    <w:link w:val="CommentTextChar"/>
    <w:uiPriority w:val="99"/>
    <w:semiHidden/>
    <w:unhideWhenUsed/>
    <w:rsid w:val="00812367"/>
    <w:rPr>
      <w:szCs w:val="24"/>
    </w:rPr>
  </w:style>
  <w:style w:type="character" w:customStyle="1" w:styleId="CommentTextChar">
    <w:name w:val="Comment Text Char"/>
    <w:basedOn w:val="DefaultParagraphFont"/>
    <w:link w:val="CommentText"/>
    <w:uiPriority w:val="99"/>
    <w:semiHidden/>
    <w:rsid w:val="008123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2367"/>
    <w:rPr>
      <w:b/>
      <w:bCs/>
      <w:sz w:val="20"/>
      <w:szCs w:val="20"/>
    </w:rPr>
  </w:style>
  <w:style w:type="character" w:customStyle="1" w:styleId="CommentSubjectChar">
    <w:name w:val="Comment Subject Char"/>
    <w:basedOn w:val="CommentTextChar"/>
    <w:link w:val="CommentSubject"/>
    <w:uiPriority w:val="99"/>
    <w:semiHidden/>
    <w:rsid w:val="00812367"/>
    <w:rPr>
      <w:rFonts w:ascii="Times New Roman" w:eastAsia="Times New Roman" w:hAnsi="Times New Roman" w:cs="Times New Roman"/>
      <w:b/>
      <w:bCs/>
      <w:sz w:val="20"/>
      <w:szCs w:val="20"/>
    </w:rPr>
  </w:style>
  <w:style w:type="table" w:styleId="TableGrid">
    <w:name w:val="Table Grid"/>
    <w:basedOn w:val="TableNormal"/>
    <w:uiPriority w:val="59"/>
    <w:rsid w:val="00B2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3D8"/>
    <w:pPr>
      <w:widowControl w:val="0"/>
      <w:autoSpaceDE w:val="0"/>
      <w:autoSpaceDN w:val="0"/>
      <w:adjustRightInd w:val="0"/>
    </w:pPr>
    <w:rPr>
      <w:rFonts w:ascii="Cambria" w:hAnsi="Cambria" w:cs="Cambria"/>
      <w:color w:val="000000"/>
    </w:rPr>
  </w:style>
  <w:style w:type="character" w:customStyle="1" w:styleId="Heading4Char">
    <w:name w:val="Heading 4 Char"/>
    <w:basedOn w:val="DefaultParagraphFont"/>
    <w:link w:val="Heading4"/>
    <w:uiPriority w:val="9"/>
    <w:rsid w:val="009A4C1B"/>
    <w:rPr>
      <w:rFonts w:ascii="Times New Roman" w:eastAsiaTheme="majorEastAsia" w:hAnsi="Times New Roman" w:cs="Times New Roman"/>
      <w:b/>
      <w:bCs/>
      <w:i/>
      <w:iCs/>
      <w:szCs w:val="20"/>
    </w:rPr>
  </w:style>
  <w:style w:type="paragraph" w:styleId="ListParagraph">
    <w:name w:val="List Paragraph"/>
    <w:basedOn w:val="Normal"/>
    <w:uiPriority w:val="34"/>
    <w:qFormat/>
    <w:rsid w:val="000D317E"/>
    <w:pPr>
      <w:ind w:left="720"/>
      <w:contextualSpacing/>
    </w:pPr>
  </w:style>
  <w:style w:type="character" w:styleId="Hyperlink">
    <w:name w:val="Hyperlink"/>
    <w:basedOn w:val="DefaultParagraphFont"/>
    <w:uiPriority w:val="99"/>
    <w:unhideWhenUsed/>
    <w:rsid w:val="000D317E"/>
    <w:rPr>
      <w:color w:val="0000FF" w:themeColor="hyperlink"/>
      <w:u w:val="single"/>
    </w:rPr>
  </w:style>
  <w:style w:type="character" w:styleId="FollowedHyperlink">
    <w:name w:val="FollowedHyperlink"/>
    <w:basedOn w:val="DefaultParagraphFont"/>
    <w:uiPriority w:val="99"/>
    <w:semiHidden/>
    <w:unhideWhenUsed/>
    <w:rsid w:val="00B92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4661">
      <w:bodyDiv w:val="1"/>
      <w:marLeft w:val="0"/>
      <w:marRight w:val="0"/>
      <w:marTop w:val="0"/>
      <w:marBottom w:val="0"/>
      <w:divBdr>
        <w:top w:val="none" w:sz="0" w:space="0" w:color="auto"/>
        <w:left w:val="none" w:sz="0" w:space="0" w:color="auto"/>
        <w:bottom w:val="none" w:sz="0" w:space="0" w:color="auto"/>
        <w:right w:val="none" w:sz="0" w:space="0" w:color="auto"/>
      </w:divBdr>
    </w:div>
    <w:div w:id="1852447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datacenters.lbl.gov/dcpro" TargetMode="External"/><Relationship Id="rId11" Type="http://schemas.openxmlformats.org/officeDocument/2006/relationships/hyperlink" Target="https://datacenters.lbl.gov/resources/data-center-master-list-energy"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DeMates:Google%20Drive:Hightech.lbl.gov:Datacenters%20Resources:EEAssessmentReportTemplate:EnergyDistributionCharts0303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eMates:Google%20Drive:Hightech.lbl.gov:Datacenters%20Resources:EEAssessmentReportTemplate:Data%20Center%20Benchmarking%20Metrics%20May29%20SRG+LDedits.xls"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DeMates:Google%20Drive:Hightech.lbl.gov:Datacenters%20Resources:EEAssessmentReportTemplate:Data%20Center%20Benchmarking%20Metrics%20May29%20SRG+LDedi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DeMates:Google%20Drive:Hightech.lbl.gov:Datacenters%20Resources:EEAssessmentReportTemplate:Data%20Center%20Benchmarking%20Metrics%20May29%20SRG+LDedi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DeMates:Google%20Drive:Hightech.lbl.gov:Datacenters%20Resources:EEAssessmentReportTemplate:Data%20Center%20Benchmarking%20Metrics%20May29%20SRG+LDedits.xls"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DeMates:Google%20Drive:Hightech.lbl.gov:Datacenters%20Resources:EEAssessmentReportTemplate:EnergyDistributionCharts03032016.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DeMates:Google%20Drive:Hightech.lbl.gov:Datacenters%20Resources:EEAssessmentReportTemplate:EnergyDistributionCharts0303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Times New Roman"/>
                <a:cs typeface="Times New Roman"/>
              </a:rPr>
              <a:t>Current Data Center Energy Use Breakdown</a:t>
            </a:r>
          </a:p>
        </c:rich>
      </c:tx>
      <c:layout>
        <c:manualLayout>
          <c:xMode val="edge"/>
          <c:yMode val="edge"/>
          <c:x val="0.134658662287317"/>
          <c:y val="0.0128865979381443"/>
        </c:manualLayout>
      </c:layout>
      <c:overlay val="0"/>
    </c:title>
    <c:autoTitleDeleted val="0"/>
    <c:plotArea>
      <c:layout/>
      <c:pieChart>
        <c:varyColors val="1"/>
        <c:ser>
          <c:idx val="0"/>
          <c:order val="0"/>
          <c:spPr>
            <a:ln>
              <a:solidFill>
                <a:srgbClr val="00006D"/>
              </a:solidFill>
            </a:ln>
          </c:spPr>
          <c:dPt>
            <c:idx val="0"/>
            <c:bubble3D val="0"/>
            <c:spPr>
              <a:solidFill>
                <a:srgbClr val="8781FF"/>
              </a:solidFill>
              <a:ln>
                <a:solidFill>
                  <a:srgbClr val="00006D"/>
                </a:solidFill>
              </a:ln>
            </c:spPr>
          </c:dPt>
          <c:dPt>
            <c:idx val="1"/>
            <c:bubble3D val="0"/>
            <c:spPr>
              <a:solidFill>
                <a:srgbClr val="852053"/>
              </a:solidFill>
              <a:ln>
                <a:solidFill>
                  <a:srgbClr val="00006D"/>
                </a:solidFill>
              </a:ln>
            </c:spPr>
          </c:dPt>
          <c:dPt>
            <c:idx val="2"/>
            <c:bubble3D val="0"/>
            <c:spPr>
              <a:solidFill>
                <a:srgbClr val="FFFFC1"/>
              </a:solidFill>
              <a:ln>
                <a:solidFill>
                  <a:srgbClr val="00006D"/>
                </a:solidFill>
              </a:ln>
            </c:spPr>
          </c:dPt>
          <c:dPt>
            <c:idx val="3"/>
            <c:bubble3D val="0"/>
            <c:spPr>
              <a:solidFill>
                <a:srgbClr val="C2FFFF"/>
              </a:solidFill>
              <a:ln>
                <a:solidFill>
                  <a:srgbClr val="00006D"/>
                </a:solidFill>
              </a:ln>
            </c:spPr>
          </c:dPt>
          <c:dPt>
            <c:idx val="4"/>
            <c:bubble3D val="0"/>
            <c:spPr>
              <a:solidFill>
                <a:srgbClr val="520053"/>
              </a:solidFill>
              <a:ln>
                <a:solidFill>
                  <a:srgbClr val="00006D"/>
                </a:solidFill>
              </a:ln>
            </c:spPr>
          </c:dPt>
          <c:dPt>
            <c:idx val="5"/>
            <c:bubble3D val="0"/>
            <c:spPr>
              <a:solidFill>
                <a:srgbClr val="FD686D"/>
              </a:solidFill>
              <a:ln>
                <a:solidFill>
                  <a:srgbClr val="00006D"/>
                </a:solidFill>
              </a:ln>
            </c:spPr>
          </c:dPt>
          <c:dPt>
            <c:idx val="6"/>
            <c:bubble3D val="0"/>
            <c:spPr>
              <a:solidFill>
                <a:srgbClr val="084DC0"/>
              </a:solidFill>
              <a:ln>
                <a:solidFill>
                  <a:srgbClr val="00006D"/>
                </a:solidFill>
              </a:ln>
            </c:spPr>
          </c:dPt>
          <c:dPt>
            <c:idx val="7"/>
            <c:bubble3D val="0"/>
            <c:spPr>
              <a:solidFill>
                <a:srgbClr val="C1BEFE"/>
              </a:solidFill>
              <a:ln>
                <a:solidFill>
                  <a:srgbClr val="00006D"/>
                </a:solidFill>
              </a:ln>
            </c:spPr>
          </c:dPt>
          <c:dPt>
            <c:idx val="8"/>
            <c:bubble3D val="0"/>
            <c:spPr>
              <a:solidFill>
                <a:srgbClr val="00006D"/>
              </a:solidFill>
              <a:ln>
                <a:solidFill>
                  <a:srgbClr val="00006D"/>
                </a:solidFill>
              </a:ln>
            </c:spPr>
          </c:dPt>
          <c:dPt>
            <c:idx val="9"/>
            <c:bubble3D val="0"/>
            <c:spPr>
              <a:solidFill>
                <a:srgbClr val="FB02FF"/>
              </a:solidFill>
              <a:ln>
                <a:solidFill>
                  <a:srgbClr val="00006D"/>
                </a:solidFill>
              </a:ln>
            </c:spPr>
          </c:dPt>
          <c:dLbls>
            <c:dLbl>
              <c:idx val="9"/>
              <c:layout>
                <c:manualLayout>
                  <c:x val="0.193036079387043"/>
                  <c:y val="0.0530789836837405"/>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leaderLines>
              <c:spPr>
                <a:ln>
                  <a:solidFill>
                    <a:srgbClr val="00006D"/>
                  </a:solidFill>
                </a:ln>
              </c:spPr>
            </c:leaderLines>
          </c:dLbls>
          <c:cat>
            <c:strRef>
              <c:f>Sheet1!$A$7:$A$16</c:f>
              <c:strCache>
                <c:ptCount val="10"/>
                <c:pt idx="0">
                  <c:v>IT equipment</c:v>
                </c:pt>
                <c:pt idx="1">
                  <c:v>CRAH humidity control</c:v>
                </c:pt>
                <c:pt idx="2">
                  <c:v>CRAH fans</c:v>
                </c:pt>
                <c:pt idx="3">
                  <c:v>Cooling towers</c:v>
                </c:pt>
                <c:pt idx="4">
                  <c:v>Condenser water pumps</c:v>
                </c:pt>
                <c:pt idx="5">
                  <c:v>Chilled water pumps</c:v>
                </c:pt>
                <c:pt idx="6">
                  <c:v>Chillers</c:v>
                </c:pt>
                <c:pt idx="7">
                  <c:v>Lighting</c:v>
                </c:pt>
                <c:pt idx="8">
                  <c:v>UPS loss</c:v>
                </c:pt>
                <c:pt idx="9">
                  <c:v>Transformer and PDU loss</c:v>
                </c:pt>
              </c:strCache>
            </c:strRef>
          </c:cat>
          <c:val>
            <c:numRef>
              <c:f>Sheet1!$B$7:$B$16</c:f>
              <c:numCache>
                <c:formatCode>General</c:formatCode>
                <c:ptCount val="10"/>
                <c:pt idx="0">
                  <c:v>38.0</c:v>
                </c:pt>
                <c:pt idx="1">
                  <c:v>23.0</c:v>
                </c:pt>
                <c:pt idx="2">
                  <c:v>10.0</c:v>
                </c:pt>
                <c:pt idx="3">
                  <c:v>1.0</c:v>
                </c:pt>
                <c:pt idx="4">
                  <c:v>5.0</c:v>
                </c:pt>
                <c:pt idx="5">
                  <c:v>2.0</c:v>
                </c:pt>
                <c:pt idx="6">
                  <c:v>15.0</c:v>
                </c:pt>
                <c:pt idx="7">
                  <c:v>2.0</c:v>
                </c:pt>
                <c:pt idx="8">
                  <c:v>2.0</c:v>
                </c:pt>
                <c:pt idx="9">
                  <c:v>2.0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a:cs typeface="Times New Roman"/>
              </a:rPr>
              <a:t>Power Usage Effectiveness (PUE) </a:t>
            </a:r>
          </a:p>
        </c:rich>
      </c:tx>
      <c:layout/>
      <c:overlay val="0"/>
      <c:spPr>
        <a:noFill/>
        <a:ln w="25400">
          <a:noFill/>
        </a:ln>
      </c:spPr>
    </c:title>
    <c:autoTitleDeleted val="0"/>
    <c:plotArea>
      <c:layout/>
      <c:barChart>
        <c:barDir val="col"/>
        <c:grouping val="stacked"/>
        <c:varyColors val="0"/>
        <c:ser>
          <c:idx val="0"/>
          <c:order val="0"/>
          <c:spPr>
            <a:solidFill>
              <a:srgbClr val="77933C"/>
            </a:solidFill>
            <a:ln w="25400">
              <a:noFill/>
            </a:ln>
          </c:spPr>
          <c:invertIfNegative val="0"/>
          <c:val>
            <c:numRef>
              <c:f>'F:Data center benchmarking:[DOE_Data_Center_metric_features_040808_SRG.xls]Metrics summary'!$H$11:$H$35</c:f>
              <c:numCache>
                <c:formatCode>General</c:formatCode>
                <c:ptCount val="25"/>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numCache>
            </c:numRef>
          </c:val>
        </c:ser>
        <c:ser>
          <c:idx val="1"/>
          <c:order val="1"/>
          <c:spPr>
            <a:solidFill>
              <a:srgbClr val="558ED5"/>
            </a:solidFill>
            <a:ln w="25400">
              <a:noFill/>
            </a:ln>
          </c:spPr>
          <c:invertIfNegative val="0"/>
          <c:val>
            <c:numRef>
              <c:f>'F:Data center benchmarking:[DOE_Data_Center_metric_features_040808_SRG.xls]Metrics summary'!$I$11:$I$35</c:f>
              <c:numCache>
                <c:formatCode>General</c:formatCode>
                <c:ptCount val="25"/>
                <c:pt idx="0">
                  <c:v>0.607933333333333</c:v>
                </c:pt>
                <c:pt idx="1">
                  <c:v>0.638191176470588</c:v>
                </c:pt>
                <c:pt idx="2">
                  <c:v>0.444961538461539</c:v>
                </c:pt>
                <c:pt idx="3">
                  <c:v>2.032697547683923</c:v>
                </c:pt>
                <c:pt idx="4">
                  <c:v>1.267605633802817</c:v>
                </c:pt>
                <c:pt idx="5">
                  <c:v>0.479646017699115</c:v>
                </c:pt>
                <c:pt idx="6">
                  <c:v>0.354422207876049</c:v>
                </c:pt>
                <c:pt idx="7">
                  <c:v>0.684298908480269</c:v>
                </c:pt>
                <c:pt idx="8">
                  <c:v>1.108450704225352</c:v>
                </c:pt>
                <c:pt idx="9">
                  <c:v>1.599099099099099</c:v>
                </c:pt>
                <c:pt idx="10">
                  <c:v>0.587346553352219</c:v>
                </c:pt>
                <c:pt idx="11">
                  <c:v>1.39421052631579</c:v>
                </c:pt>
                <c:pt idx="12">
                  <c:v>0.148957424604228</c:v>
                </c:pt>
                <c:pt idx="13">
                  <c:v>0.966310599835661</c:v>
                </c:pt>
                <c:pt idx="14">
                  <c:v>1.093449074074074</c:v>
                </c:pt>
                <c:pt idx="15">
                  <c:v>1.023872679045093</c:v>
                </c:pt>
                <c:pt idx="16">
                  <c:v>1.024242424242424</c:v>
                </c:pt>
                <c:pt idx="17">
                  <c:v>0.695945945945946</c:v>
                </c:pt>
                <c:pt idx="18">
                  <c:v>0.492788461538462</c:v>
                </c:pt>
                <c:pt idx="19">
                  <c:v>0.464864864864865</c:v>
                </c:pt>
                <c:pt idx="20">
                  <c:v>0.325925925925926</c:v>
                </c:pt>
                <c:pt idx="21">
                  <c:v>0.672920353982301</c:v>
                </c:pt>
                <c:pt idx="22">
                  <c:v>0.484876260311641</c:v>
                </c:pt>
                <c:pt idx="23">
                  <c:v>0.837471783295711</c:v>
                </c:pt>
                <c:pt idx="24">
                  <c:v>0.912366737739872</c:v>
                </c:pt>
              </c:numCache>
            </c:numRef>
          </c:val>
        </c:ser>
        <c:dLbls>
          <c:showLegendKey val="0"/>
          <c:showVal val="0"/>
          <c:showCatName val="0"/>
          <c:showSerName val="0"/>
          <c:showPercent val="0"/>
          <c:showBubbleSize val="0"/>
        </c:dLbls>
        <c:gapWidth val="150"/>
        <c:overlap val="100"/>
        <c:axId val="2034493864"/>
        <c:axId val="2033625128"/>
      </c:barChart>
      <c:catAx>
        <c:axId val="2034493864"/>
        <c:scaling>
          <c:orientation val="minMax"/>
        </c:scaling>
        <c:delete val="0"/>
        <c:axPos val="b"/>
        <c:title>
          <c:tx>
            <c:rich>
              <a:bodyPr/>
              <a:lstStyle/>
              <a:p>
                <a:pPr>
                  <a:defRPr/>
                </a:pPr>
                <a:r>
                  <a:rPr lang="en-US" sz="1200">
                    <a:latin typeface="Times New Roman"/>
                    <a:cs typeface="Times New Roman"/>
                  </a:rPr>
                  <a:t>Data center number</a:t>
                </a:r>
              </a:p>
            </c:rich>
          </c:tx>
          <c:layout/>
          <c:overlay val="0"/>
          <c:spPr>
            <a:noFill/>
            <a:ln w="25400">
              <a:noFill/>
            </a:ln>
          </c:spPr>
        </c:title>
        <c:numFmt formatCode="General" sourceLinked="1"/>
        <c:majorTickMark val="out"/>
        <c:minorTickMark val="none"/>
        <c:tickLblPos val="nextTo"/>
        <c:spPr>
          <a:ln w="3175">
            <a:solidFill>
              <a:srgbClr val="808080"/>
            </a:solidFill>
            <a:prstDash val="solid"/>
          </a:ln>
        </c:spPr>
        <c:crossAx val="2033625128"/>
        <c:crosses val="autoZero"/>
        <c:auto val="1"/>
        <c:lblAlgn val="ctr"/>
        <c:lblOffset val="100"/>
        <c:noMultiLvlLbl val="0"/>
      </c:catAx>
      <c:valAx>
        <c:axId val="2033625128"/>
        <c:scaling>
          <c:orientation val="minMax"/>
        </c:scaling>
        <c:delete val="0"/>
        <c:axPos val="l"/>
        <c:majorGridlines>
          <c:spPr>
            <a:ln w="3175">
              <a:solidFill>
                <a:srgbClr val="808080"/>
              </a:solidFill>
              <a:prstDash val="solid"/>
            </a:ln>
          </c:spPr>
        </c:majorGridlines>
        <c:title>
          <c:tx>
            <c:rich>
              <a:bodyPr rot="-5400000" vert="horz"/>
              <a:lstStyle/>
              <a:p>
                <a:pPr>
                  <a:defRPr/>
                </a:pPr>
                <a:r>
                  <a:rPr lang="en-US" sz="1200">
                    <a:latin typeface="Times New Roman"/>
                    <a:cs typeface="Times New Roman"/>
                  </a:rPr>
                  <a:t>PUE</a:t>
                </a:r>
              </a:p>
            </c:rich>
          </c:tx>
          <c:layout/>
          <c:overlay val="0"/>
          <c:spPr>
            <a:noFill/>
            <a:ln w="25400">
              <a:noFill/>
            </a:ln>
          </c:spPr>
        </c:title>
        <c:numFmt formatCode="General" sourceLinked="1"/>
        <c:majorTickMark val="out"/>
        <c:minorTickMark val="none"/>
        <c:tickLblPos val="nextTo"/>
        <c:spPr>
          <a:ln w="3175">
            <a:solidFill>
              <a:srgbClr val="808080"/>
            </a:solidFill>
            <a:prstDash val="solid"/>
          </a:ln>
        </c:spPr>
        <c:crossAx val="2034493864"/>
        <c:crosses val="autoZero"/>
        <c:crossBetween val="between"/>
      </c:valAx>
      <c:spPr>
        <a:solidFill>
          <a:srgbClr val="FFFFFF"/>
        </a:solidFill>
        <a:ln w="25400">
          <a:noFill/>
        </a:ln>
      </c:spPr>
    </c:plotArea>
    <c:plotVisOnly val="1"/>
    <c:dispBlanksAs val="gap"/>
    <c:showDLblsOverMax val="0"/>
  </c:chart>
  <c:spPr>
    <a:noFill/>
    <a:ln w="9525" cap="flat" cmpd="sng" algn="ctr">
      <a:solidFill>
        <a:schemeClr val="tx1"/>
      </a:solidFill>
      <a:prstDash val="solid"/>
      <a:miter lim="800000"/>
    </a:ln>
    <a:effectLst/>
  </c:spPr>
  <c:txPr>
    <a:bodyPr/>
    <a:lstStyle/>
    <a:p>
      <a:pPr>
        <a:defRPr>
          <a:ln>
            <a:noFill/>
          </a:ln>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u="none" strike="noStrike" baseline="0">
                <a:effectLst/>
                <a:latin typeface="Times New Roman"/>
                <a:cs typeface="Times New Roman"/>
              </a:rPr>
              <a:t>Chilled Water Plant and Chiller Rated Efficiency </a:t>
            </a:r>
            <a:endParaRPr lang="en-US" sz="1600">
              <a:latin typeface="Times New Roman"/>
              <a:cs typeface="Times New Roman"/>
            </a:endParaRPr>
          </a:p>
        </c:rich>
      </c:tx>
      <c:overlay val="0"/>
    </c:title>
    <c:autoTitleDeleted val="0"/>
    <c:plotArea>
      <c:layout>
        <c:manualLayout>
          <c:layoutTarget val="inner"/>
          <c:xMode val="edge"/>
          <c:yMode val="edge"/>
          <c:x val="0.13909412365121"/>
          <c:y val="0.147138964577657"/>
          <c:w val="0.52707002770487"/>
          <c:h val="0.714123881653758"/>
        </c:manualLayout>
      </c:layout>
      <c:barChart>
        <c:barDir val="col"/>
        <c:grouping val="clustered"/>
        <c:varyColors val="0"/>
        <c:ser>
          <c:idx val="0"/>
          <c:order val="0"/>
          <c:tx>
            <c:strRef>
              <c:f>Metrics!$B$100</c:f>
              <c:strCache>
                <c:ptCount val="1"/>
                <c:pt idx="0">
                  <c:v>Chiller plant wire to water efficiency</c:v>
                </c:pt>
              </c:strCache>
            </c:strRef>
          </c:tx>
          <c:spPr>
            <a:solidFill>
              <a:srgbClr val="4F81BD"/>
            </a:solidFill>
            <a:ln w="25400">
              <a:noFill/>
            </a:ln>
          </c:spPr>
          <c:invertIfNegative val="0"/>
          <c:val>
            <c:numRef>
              <c:f>Metrics!$B$103:$B$127</c:f>
              <c:numCache>
                <c:formatCode>0.00</c:formatCode>
                <c:ptCount val="25"/>
                <c:pt idx="0">
                  <c:v>0.0</c:v>
                </c:pt>
                <c:pt idx="1">
                  <c:v>0.0</c:v>
                </c:pt>
                <c:pt idx="2">
                  <c:v>0.0</c:v>
                </c:pt>
                <c:pt idx="3">
                  <c:v>1.687782805429864</c:v>
                </c:pt>
                <c:pt idx="4">
                  <c:v>1.023809523809524</c:v>
                </c:pt>
                <c:pt idx="5">
                  <c:v>0.756925477955521</c:v>
                </c:pt>
                <c:pt idx="6">
                  <c:v>0.723404255319149</c:v>
                </c:pt>
                <c:pt idx="7">
                  <c:v>1.225</c:v>
                </c:pt>
                <c:pt idx="8">
                  <c:v>1.165366614664587</c:v>
                </c:pt>
                <c:pt idx="9">
                  <c:v>0.0</c:v>
                </c:pt>
                <c:pt idx="10">
                  <c:v>0.583120204603581</c:v>
                </c:pt>
                <c:pt idx="11">
                  <c:v>0.917662682602922</c:v>
                </c:pt>
                <c:pt idx="12">
                  <c:v>0.0</c:v>
                </c:pt>
                <c:pt idx="13">
                  <c:v>0.667</c:v>
                </c:pt>
                <c:pt idx="14">
                  <c:v>0.0</c:v>
                </c:pt>
                <c:pt idx="15">
                  <c:v>0.0</c:v>
                </c:pt>
                <c:pt idx="16">
                  <c:v>0.0</c:v>
                </c:pt>
                <c:pt idx="17">
                  <c:v>0.0</c:v>
                </c:pt>
                <c:pt idx="18">
                  <c:v>0.0</c:v>
                </c:pt>
                <c:pt idx="19">
                  <c:v>0.978723404255319</c:v>
                </c:pt>
                <c:pt idx="20">
                  <c:v>0.605714285714286</c:v>
                </c:pt>
                <c:pt idx="21">
                  <c:v>0.64769001490313</c:v>
                </c:pt>
                <c:pt idx="22">
                  <c:v>0.0</c:v>
                </c:pt>
                <c:pt idx="23">
                  <c:v>0.0</c:v>
                </c:pt>
                <c:pt idx="24">
                  <c:v>0.635849056603773</c:v>
                </c:pt>
              </c:numCache>
            </c:numRef>
          </c:val>
        </c:ser>
        <c:ser>
          <c:idx val="1"/>
          <c:order val="1"/>
          <c:tx>
            <c:strRef>
              <c:f>Metrics!$C$100</c:f>
              <c:strCache>
                <c:ptCount val="1"/>
                <c:pt idx="0">
                  <c:v>Chiller rated efficiency at design</c:v>
                </c:pt>
              </c:strCache>
            </c:strRef>
          </c:tx>
          <c:spPr>
            <a:solidFill>
              <a:srgbClr val="C0504D"/>
            </a:solidFill>
            <a:ln w="25400">
              <a:noFill/>
            </a:ln>
          </c:spPr>
          <c:invertIfNegative val="0"/>
          <c:val>
            <c:numRef>
              <c:f>Metrics!$C$103:$C$127</c:f>
              <c:numCache>
                <c:formatCode>General</c:formatCode>
                <c:ptCount val="25"/>
                <c:pt idx="0" formatCode="0.00">
                  <c:v>1.025641025641026</c:v>
                </c:pt>
                <c:pt idx="1">
                  <c:v>1.25</c:v>
                </c:pt>
                <c:pt idx="2" formatCode="0.00">
                  <c:v>1.025641025641026</c:v>
                </c:pt>
                <c:pt idx="3" formatCode="0.00">
                  <c:v>1.41</c:v>
                </c:pt>
                <c:pt idx="4" formatCode="0.00">
                  <c:v>1.41</c:v>
                </c:pt>
                <c:pt idx="5">
                  <c:v>1.0</c:v>
                </c:pt>
                <c:pt idx="6">
                  <c:v>1.3</c:v>
                </c:pt>
                <c:pt idx="7">
                  <c:v>0.75</c:v>
                </c:pt>
                <c:pt idx="8">
                  <c:v>0.4</c:v>
                </c:pt>
                <c:pt idx="9">
                  <c:v>0.4</c:v>
                </c:pt>
                <c:pt idx="10">
                  <c:v>0.71</c:v>
                </c:pt>
                <c:pt idx="11">
                  <c:v>0.0</c:v>
                </c:pt>
                <c:pt idx="12">
                  <c:v>0.0</c:v>
                </c:pt>
                <c:pt idx="13">
                  <c:v>0.0</c:v>
                </c:pt>
                <c:pt idx="14">
                  <c:v>0.0</c:v>
                </c:pt>
                <c:pt idx="15" formatCode="0.00">
                  <c:v>0.0</c:v>
                </c:pt>
                <c:pt idx="16">
                  <c:v>0.0</c:v>
                </c:pt>
                <c:pt idx="17">
                  <c:v>1.0</c:v>
                </c:pt>
                <c:pt idx="18">
                  <c:v>1.0</c:v>
                </c:pt>
                <c:pt idx="19" formatCode="0.00">
                  <c:v>0.9</c:v>
                </c:pt>
                <c:pt idx="20" formatCode="0.00">
                  <c:v>0.42</c:v>
                </c:pt>
                <c:pt idx="21" formatCode="0.00">
                  <c:v>0.44</c:v>
                </c:pt>
                <c:pt idx="22" formatCode="0.00">
                  <c:v>0.0</c:v>
                </c:pt>
                <c:pt idx="23" formatCode="0.00">
                  <c:v>0.0</c:v>
                </c:pt>
                <c:pt idx="24" formatCode="0.00">
                  <c:v>0.0</c:v>
                </c:pt>
              </c:numCache>
            </c:numRef>
          </c:val>
        </c:ser>
        <c:dLbls>
          <c:showLegendKey val="0"/>
          <c:showVal val="0"/>
          <c:showCatName val="0"/>
          <c:showSerName val="0"/>
          <c:showPercent val="0"/>
          <c:showBubbleSize val="0"/>
        </c:dLbls>
        <c:gapWidth val="150"/>
        <c:axId val="2034375112"/>
        <c:axId val="2034734728"/>
      </c:barChart>
      <c:catAx>
        <c:axId val="2034375112"/>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sz="1200">
                    <a:latin typeface="Times New Roman"/>
                    <a:cs typeface="Times New Roman"/>
                  </a:rPr>
                  <a:t>Data center number</a:t>
                </a:r>
              </a:p>
            </c:rich>
          </c:tx>
          <c:overlay val="0"/>
          <c:spPr>
            <a:noFill/>
            <a:ln w="25400">
              <a:noFill/>
            </a:ln>
          </c:spPr>
        </c:title>
        <c:numFmt formatCode="General" sourceLinked="1"/>
        <c:majorTickMark val="out"/>
        <c:minorTickMark val="none"/>
        <c:tickLblPos val="nextTo"/>
        <c:spPr>
          <a:ln w="3175">
            <a:solidFill>
              <a:srgbClr val="808080"/>
            </a:solidFill>
            <a:prstDash val="solid"/>
          </a:ln>
        </c:spPr>
        <c:crossAx val="2034734728"/>
        <c:crosses val="autoZero"/>
        <c:auto val="1"/>
        <c:lblAlgn val="ctr"/>
        <c:lblOffset val="100"/>
        <c:noMultiLvlLbl val="0"/>
      </c:catAx>
      <c:valAx>
        <c:axId val="2034734728"/>
        <c:scaling>
          <c:orientation val="minMax"/>
        </c:scaling>
        <c:delete val="0"/>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sz="1200">
                    <a:latin typeface="Times New Roman"/>
                    <a:cs typeface="Times New Roman"/>
                  </a:rPr>
                  <a:t>Chiller plant wire to water efficiency</a:t>
                </a:r>
              </a:p>
            </c:rich>
          </c:tx>
          <c:overlay val="0"/>
          <c:spPr>
            <a:noFill/>
            <a:ln w="25400">
              <a:noFill/>
            </a:ln>
          </c:spPr>
        </c:title>
        <c:numFmt formatCode="0.00" sourceLinked="1"/>
        <c:majorTickMark val="out"/>
        <c:minorTickMark val="none"/>
        <c:tickLblPos val="nextTo"/>
        <c:spPr>
          <a:ln w="3175">
            <a:solidFill>
              <a:srgbClr val="808080"/>
            </a:solidFill>
            <a:prstDash val="solid"/>
          </a:ln>
        </c:spPr>
        <c:crossAx val="2034375112"/>
        <c:crosses val="autoZero"/>
        <c:crossBetween val="between"/>
      </c:valAx>
      <c:spPr>
        <a:solidFill>
          <a:srgbClr val="FFFFFF"/>
        </a:solidFill>
        <a:ln w="25400">
          <a:noFill/>
        </a:ln>
      </c:spPr>
    </c:plotArea>
    <c:legend>
      <c:legendPos val="r"/>
      <c:layout>
        <c:manualLayout>
          <c:xMode val="edge"/>
          <c:yMode val="edge"/>
          <c:x val="0.726627843394576"/>
          <c:y val="0.281657512497586"/>
          <c:w val="0.229390675123943"/>
          <c:h val="0.304532386448969"/>
        </c:manualLayout>
      </c:layout>
      <c:overlay val="0"/>
      <c:spPr>
        <a:noFill/>
        <a:ln w="25400">
          <a:noFill/>
        </a:ln>
      </c:spPr>
      <c:txPr>
        <a:bodyPr/>
        <a:lstStyle/>
        <a:p>
          <a:pPr>
            <a:defRPr>
              <a:latin typeface="Times New Roman"/>
              <a:cs typeface="Times New Roman"/>
            </a:defRPr>
          </a:pPr>
          <a:endParaRPr lang="en-US"/>
        </a:p>
      </c:txPr>
    </c:legend>
    <c:plotVisOnly val="1"/>
    <c:dispBlanksAs val="gap"/>
    <c:showDLblsOverMax val="0"/>
  </c:chart>
  <c:spPr>
    <a:solidFill>
      <a:srgbClr val="FFFFFF"/>
    </a:solidFill>
    <a:ln w="9525" cmpd="sng">
      <a:solidFill>
        <a:schemeClr val="tx1"/>
      </a:solidFill>
      <a:prstDash val="solid"/>
      <a:miter lim="800000"/>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a:cs typeface="Times New Roman"/>
              </a:rPr>
              <a:t>UPS Load Factor</a:t>
            </a:r>
          </a:p>
        </c:rich>
      </c:tx>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val>
            <c:numRef>
              <c:f>Metrics!$B$135:$B$159</c:f>
              <c:numCache>
                <c:formatCode>0.00</c:formatCode>
                <c:ptCount val="25"/>
                <c:pt idx="0">
                  <c:v>0.0</c:v>
                </c:pt>
                <c:pt idx="1">
                  <c:v>0.0</c:v>
                </c:pt>
                <c:pt idx="2">
                  <c:v>0.0</c:v>
                </c:pt>
                <c:pt idx="3">
                  <c:v>0.0</c:v>
                </c:pt>
                <c:pt idx="4">
                  <c:v>0.0</c:v>
                </c:pt>
                <c:pt idx="5">
                  <c:v>0.0</c:v>
                </c:pt>
                <c:pt idx="6">
                  <c:v>0.0</c:v>
                </c:pt>
                <c:pt idx="7">
                  <c:v>0.0</c:v>
                </c:pt>
                <c:pt idx="8">
                  <c:v>0.396825396825397</c:v>
                </c:pt>
                <c:pt idx="9">
                  <c:v>0.0</c:v>
                </c:pt>
                <c:pt idx="10">
                  <c:v>0.337837837837838</c:v>
                </c:pt>
                <c:pt idx="11">
                  <c:v>0.0</c:v>
                </c:pt>
                <c:pt idx="12">
                  <c:v>0.416666666666667</c:v>
                </c:pt>
                <c:pt idx="13">
                  <c:v>0.416666666666667</c:v>
                </c:pt>
                <c:pt idx="14">
                  <c:v>0.0</c:v>
                </c:pt>
                <c:pt idx="15">
                  <c:v>0.330105633802817</c:v>
                </c:pt>
                <c:pt idx="16">
                  <c:v>0.330105633802817</c:v>
                </c:pt>
                <c:pt idx="17">
                  <c:v>0.833333333333333</c:v>
                </c:pt>
                <c:pt idx="18">
                  <c:v>0.833333333333333</c:v>
                </c:pt>
                <c:pt idx="19">
                  <c:v>0.0</c:v>
                </c:pt>
                <c:pt idx="20">
                  <c:v>0.0</c:v>
                </c:pt>
                <c:pt idx="21">
                  <c:v>0.9375</c:v>
                </c:pt>
                <c:pt idx="22">
                  <c:v>0.0</c:v>
                </c:pt>
                <c:pt idx="23">
                  <c:v>0.0</c:v>
                </c:pt>
                <c:pt idx="24">
                  <c:v>0.625</c:v>
                </c:pt>
              </c:numCache>
            </c:numRef>
          </c:val>
        </c:ser>
        <c:dLbls>
          <c:showLegendKey val="0"/>
          <c:showVal val="0"/>
          <c:showCatName val="0"/>
          <c:showSerName val="0"/>
          <c:showPercent val="0"/>
          <c:showBubbleSize val="0"/>
        </c:dLbls>
        <c:gapWidth val="150"/>
        <c:axId val="2033358776"/>
        <c:axId val="2033892632"/>
      </c:barChart>
      <c:catAx>
        <c:axId val="203335877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sz="1200">
                    <a:latin typeface="Times New Roman"/>
                    <a:cs typeface="Times New Roman"/>
                  </a:rPr>
                  <a:t>Data center number</a:t>
                </a:r>
              </a:p>
            </c:rich>
          </c:tx>
          <c:overlay val="0"/>
          <c:spPr>
            <a:noFill/>
            <a:ln w="25400">
              <a:noFill/>
            </a:ln>
          </c:spPr>
        </c:title>
        <c:numFmt formatCode="General" sourceLinked="1"/>
        <c:majorTickMark val="out"/>
        <c:minorTickMark val="none"/>
        <c:tickLblPos val="nextTo"/>
        <c:spPr>
          <a:ln w="3175">
            <a:solidFill>
              <a:srgbClr val="808080"/>
            </a:solidFill>
            <a:prstDash val="solid"/>
          </a:ln>
        </c:spPr>
        <c:crossAx val="2033892632"/>
        <c:crosses val="autoZero"/>
        <c:auto val="1"/>
        <c:lblAlgn val="ctr"/>
        <c:lblOffset val="100"/>
        <c:noMultiLvlLbl val="0"/>
      </c:catAx>
      <c:valAx>
        <c:axId val="2033892632"/>
        <c:scaling>
          <c:orientation val="minMax"/>
        </c:scaling>
        <c:delete val="0"/>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sz="1200">
                    <a:latin typeface="Times New Roman"/>
                    <a:cs typeface="Times New Roman"/>
                  </a:rPr>
                  <a:t>UPS Load Factor</a:t>
                </a:r>
              </a:p>
            </c:rich>
          </c:tx>
          <c:overlay val="0"/>
          <c:spPr>
            <a:noFill/>
            <a:ln w="25400">
              <a:noFill/>
            </a:ln>
          </c:spPr>
        </c:title>
        <c:numFmt formatCode="0.00" sourceLinked="1"/>
        <c:majorTickMark val="out"/>
        <c:minorTickMark val="none"/>
        <c:tickLblPos val="nextTo"/>
        <c:spPr>
          <a:ln w="3175">
            <a:solidFill>
              <a:srgbClr val="808080"/>
            </a:solidFill>
            <a:prstDash val="solid"/>
          </a:ln>
        </c:spPr>
        <c:crossAx val="2033358776"/>
        <c:crosses val="autoZero"/>
        <c:crossBetween val="between"/>
      </c:valAx>
      <c:spPr>
        <a:solidFill>
          <a:srgbClr val="FFFFFF"/>
        </a:solidFill>
        <a:ln w="25400">
          <a:noFill/>
        </a:ln>
      </c:spPr>
    </c:plotArea>
    <c:plotVisOnly val="1"/>
    <c:dispBlanksAs val="gap"/>
    <c:showDLblsOverMax val="0"/>
  </c:chart>
  <c:spPr>
    <a:solidFill>
      <a:srgbClr val="FFFFFF"/>
    </a:solidFill>
    <a:ln w="9525" cmpd="sng">
      <a:solidFill>
        <a:schemeClr val="tx1"/>
      </a:solidFill>
      <a:prstDash val="solid"/>
      <a:miter lim="800000"/>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a:cs typeface="Times New Roman"/>
              </a:rPr>
              <a:t>IT Load Density</a:t>
            </a:r>
          </a:p>
        </c:rich>
      </c:tx>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val>
            <c:numRef>
              <c:f>Metrics!$D$135:$D$159</c:f>
              <c:numCache>
                <c:formatCode>0.00</c:formatCode>
                <c:ptCount val="25"/>
                <c:pt idx="0">
                  <c:v>23.85875616351201</c:v>
                </c:pt>
                <c:pt idx="1">
                  <c:v>33.77483443708604</c:v>
                </c:pt>
                <c:pt idx="2">
                  <c:v>41.6</c:v>
                </c:pt>
                <c:pt idx="3">
                  <c:v>4.123595505617968</c:v>
                </c:pt>
                <c:pt idx="4">
                  <c:v>4.976635514018691</c:v>
                </c:pt>
                <c:pt idx="5">
                  <c:v>35.3125</c:v>
                </c:pt>
                <c:pt idx="6">
                  <c:v>64.5416666666667</c:v>
                </c:pt>
                <c:pt idx="7">
                  <c:v>47.64</c:v>
                </c:pt>
                <c:pt idx="8">
                  <c:v>19.18918918918919</c:v>
                </c:pt>
                <c:pt idx="9">
                  <c:v>8.47328244274809</c:v>
                </c:pt>
                <c:pt idx="10">
                  <c:v>14.5068493150685</c:v>
                </c:pt>
                <c:pt idx="11">
                  <c:v>23.31288343558282</c:v>
                </c:pt>
                <c:pt idx="12">
                  <c:v>29.0</c:v>
                </c:pt>
                <c:pt idx="13">
                  <c:v>29.1601773092129</c:v>
                </c:pt>
                <c:pt idx="14">
                  <c:v>15.70851969019308</c:v>
                </c:pt>
                <c:pt idx="15">
                  <c:v>37.7</c:v>
                </c:pt>
                <c:pt idx="16">
                  <c:v>16.5</c:v>
                </c:pt>
                <c:pt idx="17">
                  <c:v>19.93265993265992</c:v>
                </c:pt>
                <c:pt idx="18">
                  <c:v>56.02693602693602</c:v>
                </c:pt>
                <c:pt idx="19">
                  <c:v>61.17724867724853</c:v>
                </c:pt>
                <c:pt idx="20">
                  <c:v>62.93706293706293</c:v>
                </c:pt>
                <c:pt idx="21">
                  <c:v>56.5</c:v>
                </c:pt>
                <c:pt idx="22">
                  <c:v>89.0</c:v>
                </c:pt>
                <c:pt idx="23">
                  <c:v>137.0</c:v>
                </c:pt>
                <c:pt idx="24">
                  <c:v>0.0</c:v>
                </c:pt>
              </c:numCache>
            </c:numRef>
          </c:val>
        </c:ser>
        <c:dLbls>
          <c:showLegendKey val="0"/>
          <c:showVal val="0"/>
          <c:showCatName val="0"/>
          <c:showSerName val="0"/>
          <c:showPercent val="0"/>
          <c:showBubbleSize val="0"/>
        </c:dLbls>
        <c:gapWidth val="150"/>
        <c:axId val="-2131919624"/>
        <c:axId val="-2102080184"/>
      </c:barChart>
      <c:catAx>
        <c:axId val="-2131919624"/>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sz="1200">
                    <a:latin typeface="Times New Roman"/>
                    <a:cs typeface="Times New Roman"/>
                  </a:rPr>
                  <a:t>Data center number</a:t>
                </a:r>
              </a:p>
            </c:rich>
          </c:tx>
          <c:overlay val="0"/>
          <c:spPr>
            <a:noFill/>
            <a:ln w="25400">
              <a:noFill/>
            </a:ln>
          </c:spPr>
        </c:title>
        <c:numFmt formatCode="General" sourceLinked="1"/>
        <c:majorTickMark val="out"/>
        <c:minorTickMark val="none"/>
        <c:tickLblPos val="nextTo"/>
        <c:spPr>
          <a:ln w="3175">
            <a:solidFill>
              <a:srgbClr val="808080"/>
            </a:solidFill>
            <a:prstDash val="solid"/>
          </a:ln>
        </c:spPr>
        <c:crossAx val="-2102080184"/>
        <c:crosses val="autoZero"/>
        <c:auto val="1"/>
        <c:lblAlgn val="ctr"/>
        <c:lblOffset val="100"/>
        <c:noMultiLvlLbl val="0"/>
      </c:catAx>
      <c:valAx>
        <c:axId val="-2102080184"/>
        <c:scaling>
          <c:orientation val="minMax"/>
        </c:scaling>
        <c:delete val="0"/>
        <c:axPos val="l"/>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sz="1200">
                    <a:latin typeface="Times New Roman"/>
                    <a:cs typeface="Times New Roman"/>
                  </a:rPr>
                  <a:t>IT Load Density</a:t>
                </a:r>
              </a:p>
            </c:rich>
          </c:tx>
          <c:overlay val="0"/>
          <c:spPr>
            <a:noFill/>
            <a:ln w="25400">
              <a:noFill/>
            </a:ln>
          </c:spPr>
        </c:title>
        <c:numFmt formatCode="0.00" sourceLinked="1"/>
        <c:majorTickMark val="out"/>
        <c:minorTickMark val="none"/>
        <c:tickLblPos val="nextTo"/>
        <c:spPr>
          <a:ln w="3175">
            <a:solidFill>
              <a:srgbClr val="808080"/>
            </a:solidFill>
            <a:prstDash val="solid"/>
          </a:ln>
        </c:spPr>
        <c:crossAx val="-2131919624"/>
        <c:crosses val="autoZero"/>
        <c:crossBetween val="between"/>
      </c:valAx>
      <c:spPr>
        <a:solidFill>
          <a:srgbClr val="FFFFFF"/>
        </a:solidFill>
        <a:ln w="25400">
          <a:noFill/>
        </a:ln>
      </c:spPr>
    </c:plotArea>
    <c:plotVisOnly val="1"/>
    <c:dispBlanksAs val="gap"/>
    <c:showDLblsOverMax val="0"/>
  </c:chart>
  <c:spPr>
    <a:noFill/>
    <a:ln w="9525" cmpd="sng">
      <a:solidFill>
        <a:schemeClr val="tx1"/>
      </a:solidFill>
      <a:prstDash val="solid"/>
      <a:miter lim="800000"/>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Times New Roman"/>
                <a:cs typeface="Times New Roman"/>
              </a:rPr>
              <a:t>Current Data Center Energy Use Breakdown</a:t>
            </a:r>
          </a:p>
        </c:rich>
      </c:tx>
      <c:layout>
        <c:manualLayout>
          <c:xMode val="edge"/>
          <c:yMode val="edge"/>
          <c:x val="0.134658662287317"/>
          <c:y val="0.0128865979381443"/>
        </c:manualLayout>
      </c:layout>
      <c:overlay val="0"/>
    </c:title>
    <c:autoTitleDeleted val="0"/>
    <c:plotArea>
      <c:layout/>
      <c:pieChart>
        <c:varyColors val="1"/>
        <c:ser>
          <c:idx val="0"/>
          <c:order val="0"/>
          <c:spPr>
            <a:ln>
              <a:solidFill>
                <a:srgbClr val="00006D"/>
              </a:solidFill>
            </a:ln>
          </c:spPr>
          <c:dPt>
            <c:idx val="0"/>
            <c:bubble3D val="0"/>
            <c:spPr>
              <a:solidFill>
                <a:srgbClr val="8781FF"/>
              </a:solidFill>
              <a:ln>
                <a:solidFill>
                  <a:srgbClr val="00006D"/>
                </a:solidFill>
              </a:ln>
            </c:spPr>
          </c:dPt>
          <c:dPt>
            <c:idx val="1"/>
            <c:bubble3D val="0"/>
            <c:spPr>
              <a:solidFill>
                <a:srgbClr val="852053"/>
              </a:solidFill>
              <a:ln>
                <a:solidFill>
                  <a:srgbClr val="00006D"/>
                </a:solidFill>
              </a:ln>
            </c:spPr>
          </c:dPt>
          <c:dPt>
            <c:idx val="2"/>
            <c:bubble3D val="0"/>
            <c:spPr>
              <a:solidFill>
                <a:srgbClr val="FFFFC1"/>
              </a:solidFill>
              <a:ln>
                <a:solidFill>
                  <a:srgbClr val="00006D"/>
                </a:solidFill>
              </a:ln>
            </c:spPr>
          </c:dPt>
          <c:dPt>
            <c:idx val="3"/>
            <c:bubble3D val="0"/>
            <c:spPr>
              <a:solidFill>
                <a:srgbClr val="C2FFFF"/>
              </a:solidFill>
              <a:ln>
                <a:solidFill>
                  <a:srgbClr val="00006D"/>
                </a:solidFill>
              </a:ln>
            </c:spPr>
          </c:dPt>
          <c:dPt>
            <c:idx val="4"/>
            <c:bubble3D val="0"/>
            <c:spPr>
              <a:solidFill>
                <a:srgbClr val="520053"/>
              </a:solidFill>
              <a:ln>
                <a:solidFill>
                  <a:srgbClr val="00006D"/>
                </a:solidFill>
              </a:ln>
            </c:spPr>
          </c:dPt>
          <c:dPt>
            <c:idx val="5"/>
            <c:bubble3D val="0"/>
            <c:spPr>
              <a:solidFill>
                <a:srgbClr val="FD686D"/>
              </a:solidFill>
              <a:ln>
                <a:solidFill>
                  <a:srgbClr val="00006D"/>
                </a:solidFill>
              </a:ln>
            </c:spPr>
          </c:dPt>
          <c:dPt>
            <c:idx val="6"/>
            <c:bubble3D val="0"/>
            <c:spPr>
              <a:solidFill>
                <a:srgbClr val="084DC0"/>
              </a:solidFill>
              <a:ln>
                <a:solidFill>
                  <a:srgbClr val="00006D"/>
                </a:solidFill>
              </a:ln>
            </c:spPr>
          </c:dPt>
          <c:dPt>
            <c:idx val="7"/>
            <c:bubble3D val="0"/>
            <c:spPr>
              <a:solidFill>
                <a:srgbClr val="C1BEFE"/>
              </a:solidFill>
              <a:ln>
                <a:solidFill>
                  <a:srgbClr val="00006D"/>
                </a:solidFill>
              </a:ln>
            </c:spPr>
          </c:dPt>
          <c:dPt>
            <c:idx val="8"/>
            <c:bubble3D val="0"/>
            <c:spPr>
              <a:solidFill>
                <a:srgbClr val="00006D"/>
              </a:solidFill>
              <a:ln>
                <a:solidFill>
                  <a:srgbClr val="00006D"/>
                </a:solidFill>
              </a:ln>
            </c:spPr>
          </c:dPt>
          <c:dPt>
            <c:idx val="9"/>
            <c:bubble3D val="0"/>
            <c:spPr>
              <a:solidFill>
                <a:srgbClr val="FB02FF"/>
              </a:solidFill>
              <a:ln>
                <a:solidFill>
                  <a:srgbClr val="00006D"/>
                </a:solidFill>
              </a:ln>
            </c:spPr>
          </c:dPt>
          <c:dLbls>
            <c:dLbl>
              <c:idx val="9"/>
              <c:layout>
                <c:manualLayout>
                  <c:x val="0.193036079387043"/>
                  <c:y val="0.0530789836837405"/>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leaderLines>
              <c:spPr>
                <a:ln>
                  <a:solidFill>
                    <a:srgbClr val="00006D"/>
                  </a:solidFill>
                </a:ln>
              </c:spPr>
            </c:leaderLines>
          </c:dLbls>
          <c:cat>
            <c:strRef>
              <c:f>Sheet1!$A$7:$A$16</c:f>
              <c:strCache>
                <c:ptCount val="10"/>
                <c:pt idx="0">
                  <c:v>IT equipment</c:v>
                </c:pt>
                <c:pt idx="1">
                  <c:v>CRAH humidity control</c:v>
                </c:pt>
                <c:pt idx="2">
                  <c:v>CRAH fans</c:v>
                </c:pt>
                <c:pt idx="3">
                  <c:v>Cooling towers</c:v>
                </c:pt>
                <c:pt idx="4">
                  <c:v>Condenser water pumps</c:v>
                </c:pt>
                <c:pt idx="5">
                  <c:v>Chilled water pumps</c:v>
                </c:pt>
                <c:pt idx="6">
                  <c:v>Chillers</c:v>
                </c:pt>
                <c:pt idx="7">
                  <c:v>Lighting</c:v>
                </c:pt>
                <c:pt idx="8">
                  <c:v>UPS loss</c:v>
                </c:pt>
                <c:pt idx="9">
                  <c:v>Transformer and PDU loss</c:v>
                </c:pt>
              </c:strCache>
            </c:strRef>
          </c:cat>
          <c:val>
            <c:numRef>
              <c:f>Sheet1!$B$7:$B$16</c:f>
              <c:numCache>
                <c:formatCode>General</c:formatCode>
                <c:ptCount val="10"/>
                <c:pt idx="0">
                  <c:v>38.0</c:v>
                </c:pt>
                <c:pt idx="1">
                  <c:v>23.0</c:v>
                </c:pt>
                <c:pt idx="2">
                  <c:v>10.0</c:v>
                </c:pt>
                <c:pt idx="3">
                  <c:v>1.0</c:v>
                </c:pt>
                <c:pt idx="4">
                  <c:v>5.0</c:v>
                </c:pt>
                <c:pt idx="5">
                  <c:v>2.0</c:v>
                </c:pt>
                <c:pt idx="6">
                  <c:v>15.0</c:v>
                </c:pt>
                <c:pt idx="7">
                  <c:v>2.0</c:v>
                </c:pt>
                <c:pt idx="8">
                  <c:v>2.0</c:v>
                </c:pt>
                <c:pt idx="9">
                  <c:v>2.0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Times New Roman"/>
                <a:cs typeface="Times New Roman"/>
              </a:rPr>
              <a:t>Projected Data Center</a:t>
            </a:r>
            <a:r>
              <a:rPr lang="en-US" baseline="0">
                <a:latin typeface="Times New Roman"/>
                <a:cs typeface="Times New Roman"/>
              </a:rPr>
              <a:t> Energy Use Breakdown</a:t>
            </a:r>
            <a:endParaRPr lang="en-US">
              <a:latin typeface="Times New Roman"/>
              <a:cs typeface="Times New Roman"/>
            </a:endParaRPr>
          </a:p>
        </c:rich>
      </c:tx>
      <c:overlay val="0"/>
    </c:title>
    <c:autoTitleDeleted val="0"/>
    <c:plotArea>
      <c:layout/>
      <c:pieChart>
        <c:varyColors val="1"/>
        <c:ser>
          <c:idx val="0"/>
          <c:order val="0"/>
          <c:spPr>
            <a:ln>
              <a:solidFill>
                <a:srgbClr val="00006D"/>
              </a:solidFill>
            </a:ln>
          </c:spPr>
          <c:dPt>
            <c:idx val="0"/>
            <c:bubble3D val="0"/>
            <c:spPr>
              <a:solidFill>
                <a:srgbClr val="8781FF"/>
              </a:solidFill>
              <a:ln>
                <a:solidFill>
                  <a:srgbClr val="00006D"/>
                </a:solidFill>
              </a:ln>
            </c:spPr>
          </c:dPt>
          <c:dPt>
            <c:idx val="1"/>
            <c:bubble3D val="0"/>
            <c:spPr>
              <a:solidFill>
                <a:srgbClr val="852053"/>
              </a:solidFill>
              <a:ln>
                <a:solidFill>
                  <a:srgbClr val="00006D"/>
                </a:solidFill>
              </a:ln>
            </c:spPr>
          </c:dPt>
          <c:dPt>
            <c:idx val="2"/>
            <c:bubble3D val="0"/>
            <c:spPr>
              <a:solidFill>
                <a:srgbClr val="FFFFC1"/>
              </a:solidFill>
              <a:ln>
                <a:solidFill>
                  <a:srgbClr val="00006D"/>
                </a:solidFill>
              </a:ln>
            </c:spPr>
          </c:dPt>
          <c:dPt>
            <c:idx val="3"/>
            <c:bubble3D val="0"/>
            <c:spPr>
              <a:solidFill>
                <a:srgbClr val="C2FFFF"/>
              </a:solidFill>
              <a:ln>
                <a:solidFill>
                  <a:srgbClr val="00006D"/>
                </a:solidFill>
              </a:ln>
            </c:spPr>
          </c:dPt>
          <c:dPt>
            <c:idx val="4"/>
            <c:bubble3D val="0"/>
            <c:spPr>
              <a:solidFill>
                <a:srgbClr val="520053"/>
              </a:solidFill>
              <a:ln>
                <a:solidFill>
                  <a:srgbClr val="00006D"/>
                </a:solidFill>
              </a:ln>
            </c:spPr>
          </c:dPt>
          <c:dPt>
            <c:idx val="5"/>
            <c:bubble3D val="0"/>
            <c:spPr>
              <a:solidFill>
                <a:srgbClr val="FD686D"/>
              </a:solidFill>
              <a:ln>
                <a:solidFill>
                  <a:srgbClr val="00006D"/>
                </a:solidFill>
              </a:ln>
            </c:spPr>
          </c:dPt>
          <c:dPt>
            <c:idx val="6"/>
            <c:bubble3D val="0"/>
            <c:spPr>
              <a:solidFill>
                <a:srgbClr val="084DC0"/>
              </a:solidFill>
              <a:ln>
                <a:solidFill>
                  <a:srgbClr val="00006D"/>
                </a:solidFill>
              </a:ln>
            </c:spPr>
          </c:dPt>
          <c:dPt>
            <c:idx val="7"/>
            <c:bubble3D val="0"/>
            <c:spPr>
              <a:solidFill>
                <a:srgbClr val="C1BEFE"/>
              </a:solidFill>
              <a:ln>
                <a:solidFill>
                  <a:srgbClr val="00006D"/>
                </a:solidFill>
              </a:ln>
            </c:spPr>
          </c:dPt>
          <c:dPt>
            <c:idx val="8"/>
            <c:bubble3D val="0"/>
            <c:spPr>
              <a:solidFill>
                <a:srgbClr val="00006D"/>
              </a:solidFill>
              <a:ln>
                <a:solidFill>
                  <a:srgbClr val="00006D"/>
                </a:solidFill>
              </a:ln>
            </c:spPr>
          </c:dPt>
          <c:dPt>
            <c:idx val="9"/>
            <c:bubble3D val="0"/>
            <c:spPr>
              <a:solidFill>
                <a:srgbClr val="FB02FF"/>
              </a:solidFill>
              <a:ln>
                <a:solidFill>
                  <a:srgbClr val="00006D"/>
                </a:solidFill>
              </a:ln>
            </c:spPr>
          </c:dPt>
          <c:dLbls>
            <c:dLbl>
              <c:idx val="1"/>
              <c:layout>
                <c:manualLayout>
                  <c:x val="-0.0170097487814023"/>
                  <c:y val="0.0529894887540971"/>
                </c:manualLayout>
              </c:layout>
              <c:dLblPos val="bestFit"/>
              <c:showLegendKey val="0"/>
              <c:showVal val="0"/>
              <c:showCatName val="1"/>
              <c:showSerName val="0"/>
              <c:showPercent val="1"/>
              <c:showBubbleSize val="0"/>
            </c:dLbl>
            <c:dLbl>
              <c:idx val="3"/>
              <c:layout>
                <c:manualLayout>
                  <c:x val="-0.17708942632171"/>
                  <c:y val="0.000293593683564674"/>
                </c:manualLayout>
              </c:layout>
              <c:dLblPos val="bestFit"/>
              <c:showLegendKey val="0"/>
              <c:showVal val="0"/>
              <c:showCatName val="1"/>
              <c:showSerName val="0"/>
              <c:showPercent val="1"/>
              <c:showBubbleSize val="0"/>
            </c:dLbl>
            <c:dLbl>
              <c:idx val="4"/>
              <c:layout>
                <c:manualLayout>
                  <c:x val="-0.0502378869308003"/>
                  <c:y val="-0.0684662622913763"/>
                </c:manualLayout>
              </c:layout>
              <c:dLblPos val="bestFit"/>
              <c:showLegendKey val="0"/>
              <c:showVal val="0"/>
              <c:showCatName val="1"/>
              <c:showSerName val="0"/>
              <c:showPercent val="1"/>
              <c:showBubbleSize val="0"/>
            </c:dLbl>
            <c:dLbl>
              <c:idx val="5"/>
              <c:layout>
                <c:manualLayout>
                  <c:x val="-0.0375605132691747"/>
                  <c:y val="-0.184282646487371"/>
                </c:manualLayout>
              </c:layout>
              <c:dLblPos val="bestFit"/>
              <c:showLegendKey val="0"/>
              <c:showVal val="0"/>
              <c:showCatName val="1"/>
              <c:showSerName val="0"/>
              <c:showPercent val="1"/>
              <c:showBubbleSize val="0"/>
            </c:dLbl>
            <c:dLbl>
              <c:idx val="7"/>
              <c:layout>
                <c:manualLayout>
                  <c:x val="-0.0865525142690497"/>
                  <c:y val="0.00536191947298454"/>
                </c:manualLayout>
              </c:layout>
              <c:dLblPos val="bestFit"/>
              <c:showLegendKey val="0"/>
              <c:showVal val="0"/>
              <c:showCatName val="1"/>
              <c:showSerName val="0"/>
              <c:showPercent val="1"/>
              <c:showBubbleSize val="0"/>
            </c:dLbl>
            <c:dLbl>
              <c:idx val="9"/>
              <c:layout>
                <c:manualLayout>
                  <c:x val="0.236327597769433"/>
                  <c:y val="0.0427697053332251"/>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leaderLines>
              <c:spPr>
                <a:ln>
                  <a:solidFill>
                    <a:srgbClr val="00006D"/>
                  </a:solidFill>
                </a:ln>
              </c:spPr>
            </c:leaderLines>
          </c:dLbls>
          <c:cat>
            <c:strRef>
              <c:f>Sheet1!$A$34:$A$43</c:f>
              <c:strCache>
                <c:ptCount val="10"/>
                <c:pt idx="0">
                  <c:v>IT equipment</c:v>
                </c:pt>
                <c:pt idx="1">
                  <c:v>CRAH humidity control</c:v>
                </c:pt>
                <c:pt idx="2">
                  <c:v>CRAH fans</c:v>
                </c:pt>
                <c:pt idx="3">
                  <c:v>Cooling towers</c:v>
                </c:pt>
                <c:pt idx="4">
                  <c:v>Condenser water pumps</c:v>
                </c:pt>
                <c:pt idx="5">
                  <c:v>Chilled water pumps</c:v>
                </c:pt>
                <c:pt idx="6">
                  <c:v>Chillers</c:v>
                </c:pt>
                <c:pt idx="7">
                  <c:v>Lighting</c:v>
                </c:pt>
                <c:pt idx="8">
                  <c:v>UPS loss</c:v>
                </c:pt>
                <c:pt idx="9">
                  <c:v>Transformer and PDU loss</c:v>
                </c:pt>
              </c:strCache>
            </c:strRef>
          </c:cat>
          <c:val>
            <c:numRef>
              <c:f>Sheet1!$B$34:$B$43</c:f>
              <c:numCache>
                <c:formatCode>General</c:formatCode>
                <c:ptCount val="10"/>
                <c:pt idx="0">
                  <c:v>70.0</c:v>
                </c:pt>
                <c:pt idx="1">
                  <c:v>9.0</c:v>
                </c:pt>
                <c:pt idx="2">
                  <c:v>3.0</c:v>
                </c:pt>
                <c:pt idx="3">
                  <c:v>1.0</c:v>
                </c:pt>
                <c:pt idx="4">
                  <c:v>1.0</c:v>
                </c:pt>
                <c:pt idx="5">
                  <c:v>2.0</c:v>
                </c:pt>
                <c:pt idx="6">
                  <c:v>9.0</c:v>
                </c:pt>
                <c:pt idx="7">
                  <c:v>2.0</c:v>
                </c:pt>
                <c:pt idx="8">
                  <c:v>2.0</c:v>
                </c:pt>
                <c:pt idx="9">
                  <c:v>1.0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0.13177</cdr:x>
      <cdr:y>0.34375</cdr:y>
    </cdr:from>
    <cdr:to>
      <cdr:x>0.96633</cdr:x>
      <cdr:y>0.53125</cdr:y>
    </cdr:to>
    <cdr:grpSp>
      <cdr:nvGrpSpPr>
        <cdr:cNvPr id="8" name="Group 7"/>
        <cdr:cNvGrpSpPr/>
      </cdr:nvGrpSpPr>
      <cdr:grpSpPr>
        <a:xfrm xmlns:a="http://schemas.openxmlformats.org/drawingml/2006/main">
          <a:off x="685800" y="1257300"/>
          <a:ext cx="4343400" cy="685800"/>
          <a:chOff x="685800" y="1257300"/>
          <a:chExt cx="4343400" cy="685800"/>
        </a:xfrm>
      </cdr:grpSpPr>
      <cdr:cxnSp macro="">
        <cdr:nvCxnSpPr>
          <cdr:cNvPr id="2" name="Straight Connector 1"/>
          <cdr:cNvCxnSpPr/>
        </cdr:nvCxnSpPr>
        <cdr:spPr>
          <a:xfrm xmlns:a="http://schemas.openxmlformats.org/drawingml/2006/main">
            <a:off x="685800" y="1943100"/>
            <a:ext cx="4343400" cy="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grpSp>
        <cdr:nvGrpSpPr>
          <cdr:cNvPr id="7" name="Group 6"/>
          <cdr:cNvGrpSpPr/>
        </cdr:nvGrpSpPr>
        <cdr:grpSpPr>
          <a:xfrm xmlns:a="http://schemas.openxmlformats.org/drawingml/2006/main">
            <a:off x="4343400" y="1257300"/>
            <a:ext cx="571500" cy="685800"/>
            <a:chOff x="4343400" y="1257300"/>
            <a:chExt cx="571500" cy="685800"/>
          </a:xfrm>
        </cdr:grpSpPr>
        <cdr:sp macro="" textlink="">
          <cdr:nvSpPr>
            <cdr:cNvPr id="3" name="Text Box 2"/>
            <cdr:cNvSpPr txBox="1"/>
          </cdr:nvSpPr>
          <cdr:spPr>
            <a:xfrm xmlns:a="http://schemas.openxmlformats.org/drawingml/2006/main">
              <a:off x="4343400" y="1257300"/>
              <a:ext cx="571500" cy="342900"/>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a:cs typeface="Times New Roman"/>
                </a:rPr>
                <a:t>Federal goal</a:t>
              </a:r>
            </a:p>
          </cdr:txBody>
        </cdr:sp>
        <cdr:cxnSp macro="">
          <cdr:nvCxnSpPr>
            <cdr:cNvPr id="5" name="Straight Connector 4"/>
            <cdr:cNvCxnSpPr>
              <a:endCxn xmlns:a="http://schemas.openxmlformats.org/drawingml/2006/main" id="3" idx="2"/>
            </cdr:cNvCxnSpPr>
          </cdr:nvCxnSpPr>
          <cdr:spPr>
            <a:xfrm xmlns:a="http://schemas.openxmlformats.org/drawingml/2006/main" flipV="1">
              <a:off x="4457700" y="1600200"/>
              <a:ext cx="171450" cy="34290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grp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Site |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915462-EA00-0648-9DC4-12BFCDD8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2384</Words>
  <Characters>13589</Characters>
  <Application>Microsoft Macintosh Word</Application>
  <DocSecurity>0</DocSecurity>
  <Lines>113</Lines>
  <Paragraphs>31</Paragraphs>
  <ScaleCrop>false</ScaleCrop>
  <Company>Lawrence Berkeley National Laboratory</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Assessment</dc:title>
  <dc:subject/>
  <dc:creator>Lauren DeMates</dc:creator>
  <cp:keywords/>
  <dc:description/>
  <cp:lastModifiedBy>Lauren DeMates</cp:lastModifiedBy>
  <cp:revision>2</cp:revision>
  <dcterms:created xsi:type="dcterms:W3CDTF">2017-01-19T22:03:00Z</dcterms:created>
  <dcterms:modified xsi:type="dcterms:W3CDTF">2017-01-19T22:03:00Z</dcterms:modified>
</cp:coreProperties>
</file>